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CF19" w14:textId="7FA99356" w:rsidR="00012B55" w:rsidRPr="00012B55" w:rsidRDefault="00012B55" w:rsidP="00012B55">
      <w:pPr>
        <w:spacing w:after="60"/>
        <w:jc w:val="both"/>
        <w:rPr>
          <w:rFonts w:cstheme="minorHAnsi"/>
          <w:sz w:val="22"/>
          <w:szCs w:val="22"/>
        </w:rPr>
      </w:pPr>
      <w:r w:rsidRPr="00012B55">
        <w:rPr>
          <w:rFonts w:cstheme="minorHAnsi"/>
          <w:sz w:val="22"/>
          <w:szCs w:val="22"/>
        </w:rPr>
        <w:t>I would not recommend selling or shipping FRTs from Florida FFL premises</w:t>
      </w:r>
      <w:r w:rsidR="008A6AC5">
        <w:rPr>
          <w:rFonts w:cstheme="minorHAnsi"/>
          <w:sz w:val="22"/>
          <w:szCs w:val="22"/>
        </w:rPr>
        <w:t xml:space="preserve">, </w:t>
      </w:r>
      <w:r w:rsidRPr="00012B55">
        <w:rPr>
          <w:rFonts w:cstheme="minorHAnsi"/>
          <w:sz w:val="22"/>
          <w:szCs w:val="22"/>
        </w:rPr>
        <w:t>even exclusively to lawful out-of-state destinations</w:t>
      </w:r>
      <w:r w:rsidR="008A6AC5">
        <w:rPr>
          <w:rFonts w:cstheme="minorHAnsi"/>
          <w:sz w:val="22"/>
          <w:szCs w:val="22"/>
        </w:rPr>
        <w:t xml:space="preserve">, </w:t>
      </w:r>
      <w:r w:rsidRPr="00012B55">
        <w:rPr>
          <w:rFonts w:cstheme="minorHAnsi"/>
          <w:sz w:val="22"/>
          <w:szCs w:val="22"/>
        </w:rPr>
        <w:t xml:space="preserve">without first obtaining a product-specific Florida legal opinion </w:t>
      </w:r>
      <w:r w:rsidR="008B0EB9">
        <w:rPr>
          <w:rFonts w:cstheme="minorHAnsi"/>
          <w:sz w:val="22"/>
          <w:szCs w:val="22"/>
        </w:rPr>
        <w:t>and/</w:t>
      </w:r>
      <w:r w:rsidRPr="00012B55">
        <w:rPr>
          <w:rFonts w:cstheme="minorHAnsi"/>
          <w:sz w:val="22"/>
          <w:szCs w:val="22"/>
        </w:rPr>
        <w:t>or a</w:t>
      </w:r>
      <w:r w:rsidR="008B0EB9">
        <w:rPr>
          <w:rFonts w:cstheme="minorHAnsi"/>
          <w:sz w:val="22"/>
          <w:szCs w:val="22"/>
        </w:rPr>
        <w:t xml:space="preserve"> </w:t>
      </w:r>
      <w:r w:rsidR="008B0EB9" w:rsidRPr="008B0EB9">
        <w:rPr>
          <w:rFonts w:cstheme="minorHAnsi"/>
          <w:sz w:val="22"/>
          <w:szCs w:val="22"/>
        </w:rPr>
        <w:t xml:space="preserve">Declaratory Statement </w:t>
      </w:r>
      <w:r w:rsidR="008B0EB9">
        <w:rPr>
          <w:rFonts w:cstheme="minorHAnsi"/>
          <w:sz w:val="22"/>
          <w:szCs w:val="22"/>
        </w:rPr>
        <w:t>by</w:t>
      </w:r>
      <w:r w:rsidR="008B0EB9" w:rsidRPr="008B0EB9">
        <w:rPr>
          <w:rFonts w:cstheme="minorHAnsi"/>
          <w:sz w:val="22"/>
          <w:szCs w:val="22"/>
        </w:rPr>
        <w:t xml:space="preserve"> the Florida Department of Law Enforcement</w:t>
      </w:r>
      <w:r w:rsidR="008B0EB9">
        <w:rPr>
          <w:rFonts w:cstheme="minorHAnsi"/>
          <w:sz w:val="22"/>
          <w:szCs w:val="22"/>
        </w:rPr>
        <w:t xml:space="preserve"> (</w:t>
      </w:r>
      <w:r w:rsidR="008B0EB9" w:rsidRPr="008B0EB9">
        <w:rPr>
          <w:rFonts w:cstheme="minorHAnsi"/>
          <w:b/>
          <w:bCs/>
          <w:sz w:val="22"/>
          <w:szCs w:val="22"/>
        </w:rPr>
        <w:t>FDLE</w:t>
      </w:r>
      <w:r w:rsidR="008B0EB9">
        <w:rPr>
          <w:rFonts w:cstheme="minorHAnsi"/>
          <w:sz w:val="22"/>
          <w:szCs w:val="22"/>
        </w:rPr>
        <w:t>)</w:t>
      </w:r>
      <w:r w:rsidRPr="00012B55">
        <w:rPr>
          <w:rFonts w:cstheme="minorHAnsi"/>
          <w:sz w:val="22"/>
          <w:szCs w:val="22"/>
        </w:rPr>
        <w:t xml:space="preserve"> that the </w:t>
      </w:r>
      <w:proofErr w:type="gramStart"/>
      <w:r w:rsidRPr="00012B55">
        <w:rPr>
          <w:rFonts w:cstheme="minorHAnsi"/>
          <w:sz w:val="22"/>
          <w:szCs w:val="22"/>
        </w:rPr>
        <w:t>particular trigger</w:t>
      </w:r>
      <w:proofErr w:type="gramEnd"/>
      <w:r w:rsidRPr="00012B55">
        <w:rPr>
          <w:rFonts w:cstheme="minorHAnsi"/>
          <w:sz w:val="22"/>
          <w:szCs w:val="22"/>
        </w:rPr>
        <w:t xml:space="preserve"> falls outside §790.222.</w:t>
      </w:r>
    </w:p>
    <w:p w14:paraId="1A10A988" w14:textId="77777777" w:rsidR="00012B55" w:rsidRPr="00012B55" w:rsidRDefault="00012B55" w:rsidP="008A6AC5">
      <w:pPr>
        <w:spacing w:after="240"/>
        <w:jc w:val="both"/>
        <w:rPr>
          <w:rFonts w:cstheme="minorHAnsi"/>
          <w:sz w:val="22"/>
          <w:szCs w:val="22"/>
        </w:rPr>
      </w:pPr>
      <w:r w:rsidRPr="00012B55">
        <w:rPr>
          <w:rFonts w:cstheme="minorHAnsi"/>
          <w:sz w:val="22"/>
          <w:szCs w:val="22"/>
        </w:rPr>
        <w:t>The problem is not the customer’s residence. It is the conduct occurring in Florida.</w:t>
      </w:r>
    </w:p>
    <w:p w14:paraId="0C4489C5" w14:textId="77777777" w:rsidR="00012B55" w:rsidRPr="00012B55" w:rsidRDefault="00012B55" w:rsidP="00012B55">
      <w:pPr>
        <w:spacing w:after="60"/>
        <w:jc w:val="both"/>
        <w:rPr>
          <w:rFonts w:cstheme="minorHAnsi"/>
          <w:b/>
          <w:bCs/>
          <w:sz w:val="22"/>
          <w:szCs w:val="22"/>
          <w:u w:val="single"/>
        </w:rPr>
      </w:pPr>
      <w:r w:rsidRPr="00012B55">
        <w:rPr>
          <w:rFonts w:cstheme="minorHAnsi"/>
          <w:b/>
          <w:bCs/>
          <w:sz w:val="22"/>
          <w:szCs w:val="22"/>
          <w:u w:val="single"/>
        </w:rPr>
        <w:t>Florida law is the principal obstacle</w:t>
      </w:r>
    </w:p>
    <w:p w14:paraId="3C66095B" w14:textId="77777777" w:rsidR="00012B55" w:rsidRPr="00012B55" w:rsidRDefault="00012B55" w:rsidP="00012B55">
      <w:pPr>
        <w:spacing w:after="60"/>
        <w:jc w:val="both"/>
        <w:rPr>
          <w:rFonts w:cstheme="minorHAnsi"/>
          <w:sz w:val="22"/>
          <w:szCs w:val="22"/>
        </w:rPr>
      </w:pPr>
      <w:r w:rsidRPr="00012B55">
        <w:rPr>
          <w:rFonts w:cstheme="minorHAnsi"/>
          <w:sz w:val="22"/>
          <w:szCs w:val="22"/>
        </w:rPr>
        <w:t>Florida Statute § 790.222 prohibits a person from:</w:t>
      </w:r>
    </w:p>
    <w:p w14:paraId="3181CA24" w14:textId="77777777" w:rsidR="00012B55" w:rsidRPr="008A6AC5" w:rsidRDefault="00012B55" w:rsidP="008B0EB9">
      <w:pPr>
        <w:spacing w:after="120"/>
        <w:ind w:left="720"/>
        <w:jc w:val="both"/>
        <w:rPr>
          <w:rFonts w:cstheme="minorHAnsi"/>
          <w:i/>
          <w:iCs/>
          <w:sz w:val="22"/>
          <w:szCs w:val="22"/>
        </w:rPr>
      </w:pPr>
      <w:r w:rsidRPr="008A6AC5">
        <w:rPr>
          <w:rFonts w:cstheme="minorHAnsi"/>
          <w:i/>
          <w:iCs/>
          <w:sz w:val="22"/>
          <w:szCs w:val="22"/>
        </w:rPr>
        <w:t>importing, transferring, distributing, selling, keeping for sale, offering for sale, possessing, or giving another person a “bump-fire stock.”</w:t>
      </w:r>
    </w:p>
    <w:p w14:paraId="5B349800" w14:textId="77777777" w:rsidR="00012B55" w:rsidRPr="00012B55" w:rsidRDefault="00012B55" w:rsidP="00012B55">
      <w:pPr>
        <w:spacing w:after="60"/>
        <w:jc w:val="both"/>
        <w:rPr>
          <w:rFonts w:cstheme="minorHAnsi"/>
          <w:sz w:val="22"/>
          <w:szCs w:val="22"/>
        </w:rPr>
      </w:pPr>
      <w:r w:rsidRPr="00012B55">
        <w:rPr>
          <w:rFonts w:cstheme="minorHAnsi"/>
          <w:sz w:val="22"/>
          <w:szCs w:val="22"/>
        </w:rPr>
        <w:t>Florida defines that term unusually broadly to include any “conversion kit, tool, accessory, or device” used either:</w:t>
      </w:r>
    </w:p>
    <w:p w14:paraId="0BB81870" w14:textId="77777777" w:rsidR="00012B55" w:rsidRPr="00012B55" w:rsidRDefault="00012B55" w:rsidP="00012B55">
      <w:pPr>
        <w:numPr>
          <w:ilvl w:val="0"/>
          <w:numId w:val="8"/>
        </w:numPr>
        <w:spacing w:after="60"/>
        <w:jc w:val="both"/>
        <w:rPr>
          <w:rFonts w:cstheme="minorHAnsi"/>
          <w:sz w:val="22"/>
          <w:szCs w:val="22"/>
        </w:rPr>
      </w:pPr>
      <w:r w:rsidRPr="00012B55">
        <w:rPr>
          <w:rFonts w:cstheme="minorHAnsi"/>
          <w:sz w:val="22"/>
          <w:szCs w:val="22"/>
        </w:rPr>
        <w:t>To alter a firearm’s rate of fire to mimic automatic fire; or</w:t>
      </w:r>
    </w:p>
    <w:p w14:paraId="308E2B66" w14:textId="77777777" w:rsidR="00012B55" w:rsidRPr="00012B55" w:rsidRDefault="00012B55" w:rsidP="008B0EB9">
      <w:pPr>
        <w:numPr>
          <w:ilvl w:val="0"/>
          <w:numId w:val="8"/>
        </w:numPr>
        <w:spacing w:after="120"/>
        <w:jc w:val="both"/>
        <w:rPr>
          <w:rFonts w:cstheme="minorHAnsi"/>
          <w:sz w:val="22"/>
          <w:szCs w:val="22"/>
        </w:rPr>
      </w:pPr>
      <w:r w:rsidRPr="00012B55">
        <w:rPr>
          <w:rFonts w:cstheme="minorHAnsi"/>
          <w:sz w:val="22"/>
          <w:szCs w:val="22"/>
        </w:rPr>
        <w:t>To increase its rate of fire beyond what the shooter could accomplish without the device.</w:t>
      </w:r>
    </w:p>
    <w:p w14:paraId="5923B00F" w14:textId="77777777" w:rsidR="00012B55" w:rsidRPr="00012B55" w:rsidRDefault="00012B55" w:rsidP="00012B55">
      <w:pPr>
        <w:spacing w:after="60"/>
        <w:jc w:val="both"/>
        <w:rPr>
          <w:rFonts w:cstheme="minorHAnsi"/>
          <w:sz w:val="22"/>
          <w:szCs w:val="22"/>
        </w:rPr>
      </w:pPr>
      <w:r w:rsidRPr="00012B55">
        <w:rPr>
          <w:rFonts w:cstheme="minorHAnsi"/>
          <w:sz w:val="22"/>
          <w:szCs w:val="22"/>
        </w:rPr>
        <w:t>Violation is a third-degree felony. There is no express exception for:</w:t>
      </w:r>
    </w:p>
    <w:p w14:paraId="49261EA4" w14:textId="77777777" w:rsidR="00012B55" w:rsidRPr="00012B55" w:rsidRDefault="00012B55" w:rsidP="00012B55">
      <w:pPr>
        <w:numPr>
          <w:ilvl w:val="0"/>
          <w:numId w:val="9"/>
        </w:numPr>
        <w:spacing w:after="60"/>
        <w:jc w:val="both"/>
        <w:rPr>
          <w:rFonts w:cstheme="minorHAnsi"/>
          <w:sz w:val="22"/>
          <w:szCs w:val="22"/>
        </w:rPr>
      </w:pPr>
      <w:r w:rsidRPr="00012B55">
        <w:rPr>
          <w:rFonts w:cstheme="minorHAnsi"/>
          <w:sz w:val="22"/>
          <w:szCs w:val="22"/>
        </w:rPr>
        <w:t>FFLs;</w:t>
      </w:r>
    </w:p>
    <w:p w14:paraId="567268B2" w14:textId="77777777" w:rsidR="00012B55" w:rsidRPr="00012B55" w:rsidRDefault="00012B55" w:rsidP="00012B55">
      <w:pPr>
        <w:numPr>
          <w:ilvl w:val="0"/>
          <w:numId w:val="9"/>
        </w:numPr>
        <w:spacing w:after="60"/>
        <w:jc w:val="both"/>
        <w:rPr>
          <w:rFonts w:cstheme="minorHAnsi"/>
          <w:sz w:val="22"/>
          <w:szCs w:val="22"/>
        </w:rPr>
      </w:pPr>
      <w:r w:rsidRPr="00012B55">
        <w:rPr>
          <w:rFonts w:cstheme="minorHAnsi"/>
          <w:sz w:val="22"/>
          <w:szCs w:val="22"/>
        </w:rPr>
        <w:t>Commercial inventory;</w:t>
      </w:r>
    </w:p>
    <w:p w14:paraId="7E275CD0" w14:textId="77777777" w:rsidR="00012B55" w:rsidRPr="00012B55" w:rsidRDefault="00012B55" w:rsidP="00012B55">
      <w:pPr>
        <w:numPr>
          <w:ilvl w:val="0"/>
          <w:numId w:val="9"/>
        </w:numPr>
        <w:spacing w:after="60"/>
        <w:jc w:val="both"/>
        <w:rPr>
          <w:rFonts w:cstheme="minorHAnsi"/>
          <w:sz w:val="22"/>
          <w:szCs w:val="22"/>
        </w:rPr>
      </w:pPr>
      <w:r w:rsidRPr="00012B55">
        <w:rPr>
          <w:rFonts w:cstheme="minorHAnsi"/>
          <w:sz w:val="22"/>
          <w:szCs w:val="22"/>
        </w:rPr>
        <w:t>Sales to another FFL;</w:t>
      </w:r>
    </w:p>
    <w:p w14:paraId="472083D5" w14:textId="77777777" w:rsidR="00012B55" w:rsidRPr="00012B55" w:rsidRDefault="00012B55" w:rsidP="00012B55">
      <w:pPr>
        <w:numPr>
          <w:ilvl w:val="0"/>
          <w:numId w:val="9"/>
        </w:numPr>
        <w:spacing w:after="60"/>
        <w:jc w:val="both"/>
        <w:rPr>
          <w:rFonts w:cstheme="minorHAnsi"/>
          <w:sz w:val="22"/>
          <w:szCs w:val="22"/>
        </w:rPr>
      </w:pPr>
      <w:r w:rsidRPr="00012B55">
        <w:rPr>
          <w:rFonts w:cstheme="minorHAnsi"/>
          <w:sz w:val="22"/>
          <w:szCs w:val="22"/>
        </w:rPr>
        <w:t>Transactions involving non-Florida customers; or</w:t>
      </w:r>
    </w:p>
    <w:p w14:paraId="456E6E5A" w14:textId="77777777" w:rsidR="00012B55" w:rsidRPr="00012B55" w:rsidRDefault="00012B55" w:rsidP="008B0EB9">
      <w:pPr>
        <w:numPr>
          <w:ilvl w:val="0"/>
          <w:numId w:val="9"/>
        </w:numPr>
        <w:spacing w:after="120"/>
        <w:jc w:val="both"/>
        <w:rPr>
          <w:rFonts w:cstheme="minorHAnsi"/>
          <w:sz w:val="22"/>
          <w:szCs w:val="22"/>
        </w:rPr>
      </w:pPr>
      <w:r w:rsidRPr="00012B55">
        <w:rPr>
          <w:rFonts w:cstheme="minorHAnsi"/>
          <w:sz w:val="22"/>
          <w:szCs w:val="22"/>
        </w:rPr>
        <w:t>Products immediately exported from Florida.</w:t>
      </w:r>
    </w:p>
    <w:p w14:paraId="388C42B8" w14:textId="77777777" w:rsidR="00012B55" w:rsidRPr="00012B55" w:rsidRDefault="00012B55" w:rsidP="00613788">
      <w:pPr>
        <w:spacing w:after="240"/>
        <w:jc w:val="both"/>
        <w:rPr>
          <w:rFonts w:cstheme="minorHAnsi"/>
          <w:sz w:val="22"/>
          <w:szCs w:val="22"/>
        </w:rPr>
      </w:pPr>
      <w:r w:rsidRPr="00012B55">
        <w:rPr>
          <w:rFonts w:cstheme="minorHAnsi"/>
          <w:sz w:val="22"/>
          <w:szCs w:val="22"/>
        </w:rPr>
        <w:t xml:space="preserve">The statute remains in effect. Florida HB 6021, which would have repealed § 790.222, died in committee on March 13, 2026. </w:t>
      </w:r>
      <w:hyperlink r:id="rId8" w:history="1">
        <w:r w:rsidRPr="00012B55">
          <w:rPr>
            <w:rStyle w:val="Hyperlink"/>
            <w:rFonts w:cstheme="minorHAnsi"/>
            <w:sz w:val="22"/>
            <w:szCs w:val="22"/>
          </w:rPr>
          <w:t>Florida Statute § 790.222</w:t>
        </w:r>
      </w:hyperlink>
      <w:r w:rsidRPr="00012B55">
        <w:rPr>
          <w:rFonts w:cstheme="minorHAnsi"/>
          <w:sz w:val="22"/>
          <w:szCs w:val="22"/>
        </w:rPr>
        <w:t xml:space="preserve">; </w:t>
      </w:r>
      <w:hyperlink r:id="rId9" w:history="1">
        <w:r w:rsidRPr="00012B55">
          <w:rPr>
            <w:rStyle w:val="Hyperlink"/>
            <w:rFonts w:cstheme="minorHAnsi"/>
            <w:sz w:val="22"/>
            <w:szCs w:val="22"/>
          </w:rPr>
          <w:t>Florida HB 6021 (2026)</w:t>
        </w:r>
      </w:hyperlink>
      <w:r w:rsidRPr="00012B55">
        <w:rPr>
          <w:rFonts w:cstheme="minorHAnsi"/>
          <w:sz w:val="22"/>
          <w:szCs w:val="22"/>
        </w:rPr>
        <w:t>.</w:t>
      </w:r>
    </w:p>
    <w:p w14:paraId="77E86661" w14:textId="77777777" w:rsidR="00012B55" w:rsidRPr="00012B55" w:rsidRDefault="00012B55" w:rsidP="00012B55">
      <w:pPr>
        <w:spacing w:after="60"/>
        <w:jc w:val="both"/>
        <w:rPr>
          <w:rFonts w:cstheme="minorHAnsi"/>
          <w:sz w:val="22"/>
          <w:szCs w:val="22"/>
        </w:rPr>
      </w:pPr>
      <w:r w:rsidRPr="00012B55">
        <w:rPr>
          <w:rFonts w:cstheme="minorHAnsi"/>
          <w:sz w:val="22"/>
          <w:szCs w:val="22"/>
        </w:rPr>
        <w:t>Consequently, if an FRT qualifies under Florida’s definition, the Florida dealer could commit the prohibited conduct by:</w:t>
      </w:r>
    </w:p>
    <w:p w14:paraId="29AC99C4" w14:textId="77777777" w:rsidR="00012B55" w:rsidRPr="00012B55" w:rsidRDefault="00012B55" w:rsidP="00012B55">
      <w:pPr>
        <w:numPr>
          <w:ilvl w:val="0"/>
          <w:numId w:val="10"/>
        </w:numPr>
        <w:spacing w:after="60"/>
        <w:jc w:val="both"/>
        <w:rPr>
          <w:rFonts w:cstheme="minorHAnsi"/>
          <w:sz w:val="22"/>
          <w:szCs w:val="22"/>
        </w:rPr>
      </w:pPr>
      <w:r w:rsidRPr="00012B55">
        <w:rPr>
          <w:rFonts w:cstheme="minorHAnsi"/>
          <w:sz w:val="22"/>
          <w:szCs w:val="22"/>
        </w:rPr>
        <w:t>Receiving or possessing the inventory in Florida;</w:t>
      </w:r>
    </w:p>
    <w:p w14:paraId="5D93B7DD" w14:textId="77777777" w:rsidR="00012B55" w:rsidRPr="00012B55" w:rsidRDefault="00012B55" w:rsidP="00012B55">
      <w:pPr>
        <w:numPr>
          <w:ilvl w:val="0"/>
          <w:numId w:val="10"/>
        </w:numPr>
        <w:spacing w:after="60"/>
        <w:jc w:val="both"/>
        <w:rPr>
          <w:rFonts w:cstheme="minorHAnsi"/>
          <w:sz w:val="22"/>
          <w:szCs w:val="22"/>
        </w:rPr>
      </w:pPr>
      <w:r w:rsidRPr="00012B55">
        <w:rPr>
          <w:rFonts w:cstheme="minorHAnsi"/>
          <w:sz w:val="22"/>
          <w:szCs w:val="22"/>
        </w:rPr>
        <w:t>Installing it in a firearm in Florida;</w:t>
      </w:r>
    </w:p>
    <w:p w14:paraId="070173F4" w14:textId="77777777" w:rsidR="00012B55" w:rsidRPr="00012B55" w:rsidRDefault="00012B55" w:rsidP="00012B55">
      <w:pPr>
        <w:numPr>
          <w:ilvl w:val="0"/>
          <w:numId w:val="10"/>
        </w:numPr>
        <w:spacing w:after="60"/>
        <w:jc w:val="both"/>
        <w:rPr>
          <w:rFonts w:cstheme="minorHAnsi"/>
          <w:sz w:val="22"/>
          <w:szCs w:val="22"/>
        </w:rPr>
      </w:pPr>
      <w:r w:rsidRPr="00012B55">
        <w:rPr>
          <w:rFonts w:cstheme="minorHAnsi"/>
          <w:sz w:val="22"/>
          <w:szCs w:val="22"/>
        </w:rPr>
        <w:t>Keeping it for sale at the Florida premises;</w:t>
      </w:r>
    </w:p>
    <w:p w14:paraId="5DCA02DF" w14:textId="77777777" w:rsidR="00012B55" w:rsidRPr="00012B55" w:rsidRDefault="00012B55" w:rsidP="00012B55">
      <w:pPr>
        <w:numPr>
          <w:ilvl w:val="0"/>
          <w:numId w:val="10"/>
        </w:numPr>
        <w:spacing w:after="60"/>
        <w:jc w:val="both"/>
        <w:rPr>
          <w:rFonts w:cstheme="minorHAnsi"/>
          <w:sz w:val="22"/>
          <w:szCs w:val="22"/>
        </w:rPr>
      </w:pPr>
      <w:r w:rsidRPr="00012B55">
        <w:rPr>
          <w:rFonts w:cstheme="minorHAnsi"/>
          <w:sz w:val="22"/>
          <w:szCs w:val="22"/>
        </w:rPr>
        <w:t>Advertising or offering it for sale from Florida; or</w:t>
      </w:r>
    </w:p>
    <w:p w14:paraId="29DD1DCC" w14:textId="77777777" w:rsidR="00012B55" w:rsidRPr="00012B55" w:rsidRDefault="00012B55" w:rsidP="00012B55">
      <w:pPr>
        <w:numPr>
          <w:ilvl w:val="0"/>
          <w:numId w:val="10"/>
        </w:numPr>
        <w:spacing w:after="60"/>
        <w:jc w:val="both"/>
        <w:rPr>
          <w:rFonts w:cstheme="minorHAnsi"/>
          <w:sz w:val="22"/>
          <w:szCs w:val="22"/>
        </w:rPr>
      </w:pPr>
      <w:r w:rsidRPr="00012B55">
        <w:rPr>
          <w:rFonts w:cstheme="minorHAnsi"/>
          <w:sz w:val="22"/>
          <w:szCs w:val="22"/>
        </w:rPr>
        <w:t>Completing the sale or shipping it from Florida.</w:t>
      </w:r>
    </w:p>
    <w:p w14:paraId="22CCED75" w14:textId="77777777" w:rsidR="00012B55" w:rsidRPr="00012B55" w:rsidRDefault="00012B55" w:rsidP="00613788">
      <w:pPr>
        <w:spacing w:after="240"/>
        <w:jc w:val="both"/>
        <w:rPr>
          <w:rFonts w:cstheme="minorHAnsi"/>
          <w:sz w:val="22"/>
          <w:szCs w:val="22"/>
        </w:rPr>
      </w:pPr>
      <w:r w:rsidRPr="00012B55">
        <w:rPr>
          <w:rFonts w:cstheme="minorHAnsi"/>
          <w:sz w:val="22"/>
          <w:szCs w:val="22"/>
        </w:rPr>
        <w:t>The fact that the buyer and receiving FFL are in a state where FRTs are lawful does not eliminate those Florida-side acts.</w:t>
      </w:r>
    </w:p>
    <w:p w14:paraId="2ABE6CE2" w14:textId="77777777" w:rsidR="00012B55" w:rsidRPr="00012B55" w:rsidRDefault="00012B55" w:rsidP="00012B55">
      <w:pPr>
        <w:spacing w:after="60"/>
        <w:jc w:val="both"/>
        <w:rPr>
          <w:rFonts w:cstheme="minorHAnsi"/>
          <w:b/>
          <w:bCs/>
          <w:sz w:val="22"/>
          <w:szCs w:val="22"/>
          <w:u w:val="single"/>
        </w:rPr>
      </w:pPr>
      <w:r w:rsidRPr="00012B55">
        <w:rPr>
          <w:rFonts w:cstheme="minorHAnsi"/>
          <w:b/>
          <w:bCs/>
          <w:sz w:val="22"/>
          <w:szCs w:val="22"/>
          <w:u w:val="single"/>
        </w:rPr>
        <w:t>Is an FRT definitely covered by § 790.222?</w:t>
      </w:r>
    </w:p>
    <w:p w14:paraId="6663E999" w14:textId="7F227EDB" w:rsidR="00012B55" w:rsidRPr="00012B55" w:rsidRDefault="00012B55" w:rsidP="00012B55">
      <w:pPr>
        <w:spacing w:after="60"/>
        <w:jc w:val="both"/>
        <w:rPr>
          <w:rFonts w:cstheme="minorHAnsi"/>
          <w:sz w:val="22"/>
          <w:szCs w:val="22"/>
        </w:rPr>
      </w:pPr>
      <w:r w:rsidRPr="00012B55">
        <w:rPr>
          <w:rFonts w:cstheme="minorHAnsi"/>
          <w:sz w:val="22"/>
          <w:szCs w:val="22"/>
        </w:rPr>
        <w:t>Not definitively</w:t>
      </w:r>
      <w:r w:rsidR="008B0EB9">
        <w:rPr>
          <w:rFonts w:cstheme="minorHAnsi"/>
          <w:sz w:val="22"/>
          <w:szCs w:val="22"/>
        </w:rPr>
        <w:t xml:space="preserve">, </w:t>
      </w:r>
      <w:r w:rsidRPr="00012B55">
        <w:rPr>
          <w:rFonts w:cstheme="minorHAnsi"/>
          <w:sz w:val="22"/>
          <w:szCs w:val="22"/>
        </w:rPr>
        <w:t>but the exposure is substantial.</w:t>
      </w:r>
    </w:p>
    <w:p w14:paraId="22058812" w14:textId="77777777" w:rsidR="00012B55" w:rsidRPr="00012B55" w:rsidRDefault="00012B55" w:rsidP="008A6AC5">
      <w:pPr>
        <w:spacing w:after="120"/>
        <w:jc w:val="both"/>
        <w:rPr>
          <w:rFonts w:cstheme="minorHAnsi"/>
          <w:sz w:val="22"/>
          <w:szCs w:val="22"/>
        </w:rPr>
      </w:pPr>
      <w:r w:rsidRPr="00012B55">
        <w:rPr>
          <w:rFonts w:cstheme="minorHAnsi"/>
          <w:sz w:val="22"/>
          <w:szCs w:val="22"/>
        </w:rPr>
        <w:t xml:space="preserve">There does not appear to be a controlling Florida appellate decision squarely determining whether a modern forced-reset trigger is a “bump-fire stock” under § 790.222. There is a potentially helpful federal district-court record in </w:t>
      </w:r>
      <w:r w:rsidRPr="00012B55">
        <w:rPr>
          <w:rFonts w:cstheme="minorHAnsi"/>
          <w:i/>
          <w:iCs/>
          <w:sz w:val="22"/>
          <w:szCs w:val="22"/>
        </w:rPr>
        <w:t>Roberts v. Swearingen</w:t>
      </w:r>
      <w:r w:rsidRPr="00012B55">
        <w:rPr>
          <w:rFonts w:cstheme="minorHAnsi"/>
          <w:sz w:val="22"/>
          <w:szCs w:val="22"/>
        </w:rPr>
        <w:t xml:space="preserve">. In that case, Florida took the position that an ordinary trigger modification did not increase the firearm’s rate of fire when the firearm still discharged only one round per trigger pull. The court dismissed the case for lack of standing and did not decide the statute’s merits. </w:t>
      </w:r>
      <w:hyperlink r:id="rId10" w:history="1">
        <w:r w:rsidRPr="00012B55">
          <w:rPr>
            <w:rStyle w:val="Hyperlink"/>
            <w:rFonts w:cstheme="minorHAnsi"/>
            <w:i/>
            <w:iCs/>
            <w:sz w:val="22"/>
            <w:szCs w:val="22"/>
          </w:rPr>
          <w:t>Roberts v. Swearin</w:t>
        </w:r>
        <w:r w:rsidRPr="00012B55">
          <w:rPr>
            <w:rStyle w:val="Hyperlink"/>
            <w:rFonts w:cstheme="minorHAnsi"/>
            <w:i/>
            <w:iCs/>
            <w:sz w:val="22"/>
            <w:szCs w:val="22"/>
          </w:rPr>
          <w:t>g</w:t>
        </w:r>
        <w:r w:rsidRPr="00012B55">
          <w:rPr>
            <w:rStyle w:val="Hyperlink"/>
            <w:rFonts w:cstheme="minorHAnsi"/>
            <w:i/>
            <w:iCs/>
            <w:sz w:val="22"/>
            <w:szCs w:val="22"/>
          </w:rPr>
          <w:t>en</w:t>
        </w:r>
        <w:r w:rsidRPr="00012B55">
          <w:rPr>
            <w:rStyle w:val="Hyperlink"/>
            <w:rFonts w:cstheme="minorHAnsi"/>
            <w:sz w:val="22"/>
            <w:szCs w:val="22"/>
          </w:rPr>
          <w:t xml:space="preserve"> order</w:t>
        </w:r>
      </w:hyperlink>
      <w:r w:rsidRPr="00012B55">
        <w:rPr>
          <w:rFonts w:cstheme="minorHAnsi"/>
          <w:sz w:val="22"/>
          <w:szCs w:val="22"/>
        </w:rPr>
        <w:t>.</w:t>
      </w:r>
    </w:p>
    <w:p w14:paraId="4941ED2F" w14:textId="77777777" w:rsidR="00012B55" w:rsidRPr="00012B55" w:rsidRDefault="00012B55" w:rsidP="00012B55">
      <w:pPr>
        <w:spacing w:after="60"/>
        <w:jc w:val="both"/>
        <w:rPr>
          <w:rFonts w:cstheme="minorHAnsi"/>
          <w:sz w:val="22"/>
          <w:szCs w:val="22"/>
        </w:rPr>
      </w:pPr>
      <w:r w:rsidRPr="00012B55">
        <w:rPr>
          <w:rFonts w:cstheme="minorHAnsi"/>
          <w:sz w:val="22"/>
          <w:szCs w:val="22"/>
        </w:rPr>
        <w:t>That record provides an argument:</w:t>
      </w:r>
    </w:p>
    <w:p w14:paraId="01350B54" w14:textId="77777777" w:rsidR="00012B55" w:rsidRPr="00012B55" w:rsidRDefault="00012B55" w:rsidP="00012B55">
      <w:pPr>
        <w:numPr>
          <w:ilvl w:val="0"/>
          <w:numId w:val="11"/>
        </w:numPr>
        <w:spacing w:after="60"/>
        <w:jc w:val="both"/>
        <w:rPr>
          <w:rFonts w:cstheme="minorHAnsi"/>
          <w:sz w:val="22"/>
          <w:szCs w:val="22"/>
        </w:rPr>
      </w:pPr>
      <w:r w:rsidRPr="00012B55">
        <w:rPr>
          <w:rFonts w:cstheme="minorHAnsi"/>
          <w:sz w:val="22"/>
          <w:szCs w:val="22"/>
        </w:rPr>
        <w:t>An FRT mechanically resets after every discharge;</w:t>
      </w:r>
    </w:p>
    <w:p w14:paraId="6B005487" w14:textId="77777777" w:rsidR="00012B55" w:rsidRPr="00012B55" w:rsidRDefault="00012B55" w:rsidP="00012B55">
      <w:pPr>
        <w:numPr>
          <w:ilvl w:val="0"/>
          <w:numId w:val="11"/>
        </w:numPr>
        <w:spacing w:after="60"/>
        <w:jc w:val="both"/>
        <w:rPr>
          <w:rFonts w:cstheme="minorHAnsi"/>
          <w:sz w:val="22"/>
          <w:szCs w:val="22"/>
        </w:rPr>
      </w:pPr>
      <w:r w:rsidRPr="00012B55">
        <w:rPr>
          <w:rFonts w:cstheme="minorHAnsi"/>
          <w:sz w:val="22"/>
          <w:szCs w:val="22"/>
        </w:rPr>
        <w:t>Each shot still requires a separate function or movement of the trigger;</w:t>
      </w:r>
    </w:p>
    <w:p w14:paraId="06B7B609" w14:textId="77777777" w:rsidR="00012B55" w:rsidRDefault="00012B55" w:rsidP="008A6AC5">
      <w:pPr>
        <w:numPr>
          <w:ilvl w:val="0"/>
          <w:numId w:val="11"/>
        </w:numPr>
        <w:spacing w:after="120"/>
        <w:jc w:val="both"/>
        <w:rPr>
          <w:rFonts w:cstheme="minorHAnsi"/>
          <w:sz w:val="22"/>
          <w:szCs w:val="22"/>
        </w:rPr>
      </w:pPr>
      <w:r w:rsidRPr="00012B55">
        <w:rPr>
          <w:rFonts w:cstheme="minorHAnsi"/>
          <w:sz w:val="22"/>
          <w:szCs w:val="22"/>
        </w:rPr>
        <w:t>Therefore, it arguably does not alter the firearm’s one-shot-per-trigger-function operation.</w:t>
      </w:r>
    </w:p>
    <w:p w14:paraId="12858A73" w14:textId="77777777" w:rsidR="008B0EB9" w:rsidRPr="00012B55" w:rsidRDefault="008B0EB9" w:rsidP="008B0EB9">
      <w:pPr>
        <w:spacing w:after="120"/>
        <w:ind w:left="720"/>
        <w:jc w:val="both"/>
        <w:rPr>
          <w:rFonts w:cstheme="minorHAnsi"/>
          <w:sz w:val="22"/>
          <w:szCs w:val="22"/>
        </w:rPr>
      </w:pPr>
    </w:p>
    <w:p w14:paraId="50CF2101" w14:textId="77777777" w:rsidR="00012B55" w:rsidRPr="00012B55" w:rsidRDefault="00012B55" w:rsidP="00012B55">
      <w:pPr>
        <w:spacing w:after="60"/>
        <w:jc w:val="both"/>
        <w:rPr>
          <w:rFonts w:cstheme="minorHAnsi"/>
          <w:sz w:val="22"/>
          <w:szCs w:val="22"/>
        </w:rPr>
      </w:pPr>
      <w:r w:rsidRPr="00012B55">
        <w:rPr>
          <w:rFonts w:cstheme="minorHAnsi"/>
          <w:sz w:val="22"/>
          <w:szCs w:val="22"/>
        </w:rPr>
        <w:lastRenderedPageBreak/>
        <w:t>But it is not a reliable commercial safe harbor because:</w:t>
      </w:r>
    </w:p>
    <w:p w14:paraId="353203DF" w14:textId="77777777" w:rsidR="00012B55" w:rsidRPr="00012B55" w:rsidRDefault="00012B55" w:rsidP="00012B55">
      <w:pPr>
        <w:numPr>
          <w:ilvl w:val="0"/>
          <w:numId w:val="12"/>
        </w:numPr>
        <w:spacing w:after="60"/>
        <w:jc w:val="both"/>
        <w:rPr>
          <w:rFonts w:cstheme="minorHAnsi"/>
          <w:sz w:val="22"/>
          <w:szCs w:val="22"/>
        </w:rPr>
      </w:pPr>
      <w:r w:rsidRPr="00012B55">
        <w:rPr>
          <w:rFonts w:cstheme="minorHAnsi"/>
          <w:sz w:val="22"/>
          <w:szCs w:val="22"/>
        </w:rPr>
        <w:t xml:space="preserve">The items examined in </w:t>
      </w:r>
      <w:r w:rsidRPr="00012B55">
        <w:rPr>
          <w:rFonts w:cstheme="minorHAnsi"/>
          <w:i/>
          <w:iCs/>
          <w:sz w:val="22"/>
          <w:szCs w:val="22"/>
        </w:rPr>
        <w:t>Roberts</w:t>
      </w:r>
      <w:r w:rsidRPr="00012B55">
        <w:rPr>
          <w:rFonts w:cstheme="minorHAnsi"/>
          <w:sz w:val="22"/>
          <w:szCs w:val="22"/>
        </w:rPr>
        <w:t xml:space="preserve"> were a modified hex bolt and screwdriver—not an FRT;</w:t>
      </w:r>
    </w:p>
    <w:p w14:paraId="5ACB5A0D" w14:textId="77777777" w:rsidR="00012B55" w:rsidRPr="00012B55" w:rsidRDefault="00012B55" w:rsidP="00012B55">
      <w:pPr>
        <w:numPr>
          <w:ilvl w:val="0"/>
          <w:numId w:val="12"/>
        </w:numPr>
        <w:spacing w:after="60"/>
        <w:jc w:val="both"/>
        <w:rPr>
          <w:rFonts w:cstheme="minorHAnsi"/>
          <w:sz w:val="22"/>
          <w:szCs w:val="22"/>
        </w:rPr>
      </w:pPr>
      <w:r w:rsidRPr="00012B55">
        <w:rPr>
          <w:rFonts w:cstheme="minorHAnsi"/>
          <w:sz w:val="22"/>
          <w:szCs w:val="22"/>
        </w:rPr>
        <w:t>The decision was jurisdictional, not an interpretation binding Florida prosecutors;</w:t>
      </w:r>
    </w:p>
    <w:p w14:paraId="464A8EF9" w14:textId="77777777" w:rsidR="00012B55" w:rsidRPr="00012B55" w:rsidRDefault="00012B55" w:rsidP="00012B55">
      <w:pPr>
        <w:numPr>
          <w:ilvl w:val="0"/>
          <w:numId w:val="12"/>
        </w:numPr>
        <w:spacing w:after="60"/>
        <w:jc w:val="both"/>
        <w:rPr>
          <w:rFonts w:cstheme="minorHAnsi"/>
          <w:sz w:val="22"/>
          <w:szCs w:val="22"/>
        </w:rPr>
      </w:pPr>
      <w:r w:rsidRPr="00012B55">
        <w:rPr>
          <w:rFonts w:cstheme="minorHAnsi"/>
          <w:sz w:val="22"/>
          <w:szCs w:val="22"/>
        </w:rPr>
        <w:t>An FRT is specifically designed to produce a substantially accelerated firing cadence;</w:t>
      </w:r>
    </w:p>
    <w:p w14:paraId="355BAFAA" w14:textId="77777777" w:rsidR="00012B55" w:rsidRPr="00012B55" w:rsidRDefault="00012B55" w:rsidP="00012B55">
      <w:pPr>
        <w:numPr>
          <w:ilvl w:val="0"/>
          <w:numId w:val="12"/>
        </w:numPr>
        <w:spacing w:after="60"/>
        <w:jc w:val="both"/>
        <w:rPr>
          <w:rFonts w:cstheme="minorHAnsi"/>
          <w:sz w:val="22"/>
          <w:szCs w:val="22"/>
        </w:rPr>
      </w:pPr>
      <w:r w:rsidRPr="00012B55">
        <w:rPr>
          <w:rFonts w:cstheme="minorHAnsi"/>
          <w:sz w:val="22"/>
          <w:szCs w:val="22"/>
        </w:rPr>
        <w:t>Florida’s first statutory prong independently reaches a device used to alter the rate of fire to “mimic automatic weapon fire.”</w:t>
      </w:r>
    </w:p>
    <w:p w14:paraId="196ED1FF" w14:textId="77777777" w:rsidR="00012B55" w:rsidRPr="00012B55" w:rsidRDefault="00012B55" w:rsidP="00012B55">
      <w:pPr>
        <w:spacing w:after="60"/>
        <w:jc w:val="both"/>
        <w:rPr>
          <w:rFonts w:cstheme="minorHAnsi"/>
          <w:sz w:val="22"/>
          <w:szCs w:val="22"/>
        </w:rPr>
      </w:pPr>
      <w:r w:rsidRPr="00012B55">
        <w:rPr>
          <w:rFonts w:cstheme="minorHAnsi"/>
          <w:sz w:val="22"/>
          <w:szCs w:val="22"/>
        </w:rPr>
        <w:t>Under that language, a prosecutor could argue that an FRT qualifies even though it remains mechanically semiautomatic under the federal machinegun definition.</w:t>
      </w:r>
    </w:p>
    <w:p w14:paraId="4B7AD0D1" w14:textId="77777777" w:rsidR="00012B55" w:rsidRPr="00012B55" w:rsidRDefault="00012B55" w:rsidP="008B0EB9">
      <w:pPr>
        <w:spacing w:after="120"/>
        <w:jc w:val="both"/>
        <w:rPr>
          <w:rFonts w:cstheme="minorHAnsi"/>
          <w:sz w:val="22"/>
          <w:szCs w:val="22"/>
        </w:rPr>
      </w:pPr>
      <w:r w:rsidRPr="00012B55">
        <w:rPr>
          <w:rFonts w:cstheme="minorHAnsi"/>
          <w:sz w:val="22"/>
          <w:szCs w:val="22"/>
        </w:rPr>
        <w:t xml:space="preserve">ATF’s current federal position does not override Florida law. Following </w:t>
      </w:r>
      <w:r w:rsidRPr="00012B55">
        <w:rPr>
          <w:rFonts w:cstheme="minorHAnsi"/>
          <w:i/>
          <w:iCs/>
          <w:sz w:val="22"/>
          <w:szCs w:val="22"/>
        </w:rPr>
        <w:t>Cargill</w:t>
      </w:r>
      <w:r w:rsidRPr="00012B55">
        <w:rPr>
          <w:rFonts w:cstheme="minorHAnsi"/>
          <w:sz w:val="22"/>
          <w:szCs w:val="22"/>
        </w:rPr>
        <w:t xml:space="preserve">, the Northern District of Texas held in July 2024 that the FRTs at issue could not be classified as machineguns, and DOJ settled the related litigation in May 2025. That materially reduced the federal NFA issue for Rare Breed-type FRTs, but DOJ expressly acknowledged that state laws remain a separate issue. </w:t>
      </w:r>
      <w:hyperlink r:id="rId11" w:history="1">
        <w:r w:rsidRPr="00012B55">
          <w:rPr>
            <w:rStyle w:val="Hyperlink"/>
            <w:rFonts w:cstheme="minorHAnsi"/>
            <w:sz w:val="22"/>
            <w:szCs w:val="22"/>
          </w:rPr>
          <w:t>DOJ FRT settlement announcement</w:t>
        </w:r>
      </w:hyperlink>
      <w:r w:rsidRPr="00012B55">
        <w:rPr>
          <w:rFonts w:cstheme="minorHAnsi"/>
          <w:sz w:val="22"/>
          <w:szCs w:val="22"/>
        </w:rPr>
        <w:t>.</w:t>
      </w:r>
    </w:p>
    <w:p w14:paraId="41A9D012" w14:textId="77777777" w:rsidR="00012B55" w:rsidRPr="00012B55" w:rsidRDefault="00012B55" w:rsidP="00012B55">
      <w:pPr>
        <w:spacing w:after="60"/>
        <w:jc w:val="both"/>
        <w:rPr>
          <w:rFonts w:cstheme="minorHAnsi"/>
          <w:b/>
          <w:bCs/>
          <w:sz w:val="22"/>
          <w:szCs w:val="22"/>
          <w:u w:val="single"/>
        </w:rPr>
      </w:pPr>
      <w:r w:rsidRPr="00012B55">
        <w:rPr>
          <w:rFonts w:cstheme="minorHAnsi"/>
          <w:b/>
          <w:bCs/>
          <w:sz w:val="22"/>
          <w:szCs w:val="22"/>
          <w:u w:val="single"/>
        </w:rPr>
        <w:t>Standalone versus installed FRTs</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6"/>
        <w:gridCol w:w="4743"/>
        <w:gridCol w:w="4201"/>
      </w:tblGrid>
      <w:tr w:rsidR="00012B55" w:rsidRPr="00012B55" w14:paraId="453672B6" w14:textId="77777777" w:rsidTr="00012B55">
        <w:trPr>
          <w:tblHeader/>
          <w:tblCellSpacing w:w="15" w:type="dxa"/>
        </w:trPr>
        <w:tc>
          <w:tcPr>
            <w:tcW w:w="0" w:type="auto"/>
            <w:shd w:val="clear" w:color="auto" w:fill="D9D9D9" w:themeFill="background1" w:themeFillShade="D9"/>
            <w:vAlign w:val="center"/>
            <w:hideMark/>
          </w:tcPr>
          <w:p w14:paraId="2AA01CD4" w14:textId="77777777" w:rsidR="00012B55" w:rsidRPr="00012B55" w:rsidRDefault="00012B55" w:rsidP="008A6AC5">
            <w:pPr>
              <w:spacing w:after="0"/>
              <w:jc w:val="center"/>
              <w:rPr>
                <w:rFonts w:cstheme="minorHAnsi"/>
                <w:b/>
                <w:bCs/>
                <w:sz w:val="22"/>
                <w:szCs w:val="22"/>
              </w:rPr>
            </w:pPr>
            <w:r w:rsidRPr="00012B55">
              <w:rPr>
                <w:rFonts w:cstheme="minorHAnsi"/>
                <w:b/>
                <w:bCs/>
                <w:sz w:val="22"/>
                <w:szCs w:val="22"/>
              </w:rPr>
              <w:t>Transaction</w:t>
            </w:r>
          </w:p>
        </w:tc>
        <w:tc>
          <w:tcPr>
            <w:tcW w:w="0" w:type="auto"/>
            <w:shd w:val="clear" w:color="auto" w:fill="D9D9D9" w:themeFill="background1" w:themeFillShade="D9"/>
            <w:vAlign w:val="center"/>
            <w:hideMark/>
          </w:tcPr>
          <w:p w14:paraId="5B7EC622" w14:textId="77777777" w:rsidR="00012B55" w:rsidRPr="00012B55" w:rsidRDefault="00012B55" w:rsidP="008A6AC5">
            <w:pPr>
              <w:spacing w:after="0"/>
              <w:jc w:val="center"/>
              <w:rPr>
                <w:rFonts w:cstheme="minorHAnsi"/>
                <w:b/>
                <w:bCs/>
                <w:sz w:val="22"/>
                <w:szCs w:val="22"/>
              </w:rPr>
            </w:pPr>
            <w:r w:rsidRPr="00012B55">
              <w:rPr>
                <w:rFonts w:cstheme="minorHAnsi"/>
                <w:b/>
                <w:bCs/>
                <w:sz w:val="22"/>
                <w:szCs w:val="22"/>
              </w:rPr>
              <w:t>Federal treatment</w:t>
            </w:r>
          </w:p>
        </w:tc>
        <w:tc>
          <w:tcPr>
            <w:tcW w:w="0" w:type="auto"/>
            <w:shd w:val="clear" w:color="auto" w:fill="D9D9D9" w:themeFill="background1" w:themeFillShade="D9"/>
            <w:vAlign w:val="center"/>
            <w:hideMark/>
          </w:tcPr>
          <w:p w14:paraId="2983ED61" w14:textId="77777777" w:rsidR="00012B55" w:rsidRPr="00012B55" w:rsidRDefault="00012B55" w:rsidP="008A6AC5">
            <w:pPr>
              <w:spacing w:after="0"/>
              <w:jc w:val="center"/>
              <w:rPr>
                <w:rFonts w:cstheme="minorHAnsi"/>
                <w:b/>
                <w:bCs/>
                <w:sz w:val="22"/>
                <w:szCs w:val="22"/>
              </w:rPr>
            </w:pPr>
            <w:r w:rsidRPr="00012B55">
              <w:rPr>
                <w:rFonts w:cstheme="minorHAnsi"/>
                <w:b/>
                <w:bCs/>
                <w:sz w:val="22"/>
                <w:szCs w:val="22"/>
              </w:rPr>
              <w:t>Florida exposure</w:t>
            </w:r>
          </w:p>
        </w:tc>
      </w:tr>
      <w:tr w:rsidR="00012B55" w:rsidRPr="00012B55" w14:paraId="3DB27DE7" w14:textId="77777777" w:rsidTr="00613788">
        <w:trPr>
          <w:tblCellSpacing w:w="15" w:type="dxa"/>
        </w:trPr>
        <w:tc>
          <w:tcPr>
            <w:tcW w:w="0" w:type="auto"/>
            <w:shd w:val="clear" w:color="auto" w:fill="F2F2F2" w:themeFill="background1" w:themeFillShade="F2"/>
            <w:vAlign w:val="center"/>
            <w:hideMark/>
          </w:tcPr>
          <w:p w14:paraId="54DB8D1A" w14:textId="77777777" w:rsidR="00012B55" w:rsidRPr="00012B55" w:rsidRDefault="00012B55" w:rsidP="008A6AC5">
            <w:pPr>
              <w:spacing w:after="0"/>
              <w:rPr>
                <w:rFonts w:cstheme="minorHAnsi"/>
                <w:sz w:val="22"/>
                <w:szCs w:val="22"/>
              </w:rPr>
            </w:pPr>
            <w:r w:rsidRPr="00012B55">
              <w:rPr>
                <w:rFonts w:cstheme="minorHAnsi"/>
                <w:sz w:val="22"/>
                <w:szCs w:val="22"/>
              </w:rPr>
              <w:t>Standalone FRT shipped from Florida</w:t>
            </w:r>
          </w:p>
        </w:tc>
        <w:tc>
          <w:tcPr>
            <w:tcW w:w="0" w:type="auto"/>
            <w:vAlign w:val="center"/>
            <w:hideMark/>
          </w:tcPr>
          <w:p w14:paraId="05C1083F" w14:textId="77777777" w:rsidR="00012B55" w:rsidRPr="00012B55" w:rsidRDefault="00012B55" w:rsidP="008A6AC5">
            <w:pPr>
              <w:spacing w:after="0"/>
              <w:rPr>
                <w:rFonts w:cstheme="minorHAnsi"/>
                <w:sz w:val="22"/>
                <w:szCs w:val="22"/>
              </w:rPr>
            </w:pPr>
            <w:proofErr w:type="gramStart"/>
            <w:r w:rsidRPr="00012B55">
              <w:rPr>
                <w:rFonts w:cstheme="minorHAnsi"/>
                <w:sz w:val="22"/>
                <w:szCs w:val="22"/>
              </w:rPr>
              <w:t>Generally</w:t>
            </w:r>
            <w:proofErr w:type="gramEnd"/>
            <w:r w:rsidRPr="00012B55">
              <w:rPr>
                <w:rFonts w:cstheme="minorHAnsi"/>
                <w:sz w:val="22"/>
                <w:szCs w:val="22"/>
              </w:rPr>
              <w:t xml:space="preserve"> not a GCA “firearm” if the </w:t>
            </w:r>
            <w:proofErr w:type="gramStart"/>
            <w:r w:rsidRPr="00012B55">
              <w:rPr>
                <w:rFonts w:cstheme="minorHAnsi"/>
                <w:sz w:val="22"/>
                <w:szCs w:val="22"/>
              </w:rPr>
              <w:t>particular design</w:t>
            </w:r>
            <w:proofErr w:type="gramEnd"/>
            <w:r w:rsidRPr="00012B55">
              <w:rPr>
                <w:rFonts w:cstheme="minorHAnsi"/>
                <w:sz w:val="22"/>
                <w:szCs w:val="22"/>
              </w:rPr>
              <w:t xml:space="preserve"> is not a machinegun conversion device; ordinary firearm-transfer paperwork ordinarily would not apply to the loose part</w:t>
            </w:r>
          </w:p>
        </w:tc>
        <w:tc>
          <w:tcPr>
            <w:tcW w:w="0" w:type="auto"/>
            <w:vAlign w:val="center"/>
            <w:hideMark/>
          </w:tcPr>
          <w:p w14:paraId="59661EA5" w14:textId="77777777" w:rsidR="00012B55" w:rsidRPr="00012B55" w:rsidRDefault="00012B55" w:rsidP="008A6AC5">
            <w:pPr>
              <w:spacing w:after="0"/>
              <w:rPr>
                <w:rFonts w:cstheme="minorHAnsi"/>
                <w:sz w:val="22"/>
                <w:szCs w:val="22"/>
              </w:rPr>
            </w:pPr>
            <w:r w:rsidRPr="00012B55">
              <w:rPr>
                <w:rFonts w:cstheme="minorHAnsi"/>
                <w:sz w:val="22"/>
                <w:szCs w:val="22"/>
              </w:rPr>
              <w:t>High risk because possession, keeping for sale, offering, selling, and distribution occur in Florida</w:t>
            </w:r>
          </w:p>
        </w:tc>
      </w:tr>
      <w:tr w:rsidR="00012B55" w:rsidRPr="00012B55" w14:paraId="17977847" w14:textId="77777777" w:rsidTr="00613788">
        <w:trPr>
          <w:tblCellSpacing w:w="15" w:type="dxa"/>
        </w:trPr>
        <w:tc>
          <w:tcPr>
            <w:tcW w:w="0" w:type="auto"/>
            <w:shd w:val="clear" w:color="auto" w:fill="F2F2F2" w:themeFill="background1" w:themeFillShade="F2"/>
            <w:vAlign w:val="center"/>
            <w:hideMark/>
          </w:tcPr>
          <w:p w14:paraId="0394D838" w14:textId="77777777" w:rsidR="00012B55" w:rsidRPr="00012B55" w:rsidRDefault="00012B55" w:rsidP="008A6AC5">
            <w:pPr>
              <w:spacing w:after="0"/>
              <w:rPr>
                <w:rFonts w:cstheme="minorHAnsi"/>
                <w:sz w:val="22"/>
                <w:szCs w:val="22"/>
              </w:rPr>
            </w:pPr>
            <w:r w:rsidRPr="00012B55">
              <w:rPr>
                <w:rFonts w:cstheme="minorHAnsi"/>
                <w:sz w:val="22"/>
                <w:szCs w:val="22"/>
              </w:rPr>
              <w:t>Firearm with FRT installed in Florida</w:t>
            </w:r>
          </w:p>
        </w:tc>
        <w:tc>
          <w:tcPr>
            <w:tcW w:w="0" w:type="auto"/>
            <w:vAlign w:val="center"/>
            <w:hideMark/>
          </w:tcPr>
          <w:p w14:paraId="003792E5" w14:textId="77777777" w:rsidR="00012B55" w:rsidRPr="00012B55" w:rsidRDefault="00012B55" w:rsidP="008A6AC5">
            <w:pPr>
              <w:spacing w:after="0"/>
              <w:rPr>
                <w:rFonts w:cstheme="minorHAnsi"/>
                <w:sz w:val="22"/>
                <w:szCs w:val="22"/>
              </w:rPr>
            </w:pPr>
            <w:r w:rsidRPr="00012B55">
              <w:rPr>
                <w:rFonts w:cstheme="minorHAnsi"/>
                <w:sz w:val="22"/>
                <w:szCs w:val="22"/>
              </w:rPr>
              <w:t>Firearm-transfer rules apply; interstate consumer sale should be shipped to a receiving FFL in the buyer’s state</w:t>
            </w:r>
          </w:p>
        </w:tc>
        <w:tc>
          <w:tcPr>
            <w:tcW w:w="0" w:type="auto"/>
            <w:vAlign w:val="center"/>
            <w:hideMark/>
          </w:tcPr>
          <w:p w14:paraId="6F0B17A8" w14:textId="77777777" w:rsidR="00012B55" w:rsidRPr="00012B55" w:rsidRDefault="00012B55" w:rsidP="008A6AC5">
            <w:pPr>
              <w:spacing w:after="0"/>
              <w:rPr>
                <w:rFonts w:cstheme="minorHAnsi"/>
                <w:sz w:val="22"/>
                <w:szCs w:val="22"/>
              </w:rPr>
            </w:pPr>
            <w:r w:rsidRPr="00012B55">
              <w:rPr>
                <w:rFonts w:cstheme="minorHAnsi"/>
                <w:sz w:val="22"/>
                <w:szCs w:val="22"/>
              </w:rPr>
              <w:t>Higher risk because the Florida business possesses and installs the device and then sells the configured firearm</w:t>
            </w:r>
          </w:p>
        </w:tc>
      </w:tr>
      <w:tr w:rsidR="00012B55" w:rsidRPr="00012B55" w14:paraId="15C3A105" w14:textId="77777777" w:rsidTr="00613788">
        <w:trPr>
          <w:tblCellSpacing w:w="15" w:type="dxa"/>
        </w:trPr>
        <w:tc>
          <w:tcPr>
            <w:tcW w:w="0" w:type="auto"/>
            <w:shd w:val="clear" w:color="auto" w:fill="F2F2F2" w:themeFill="background1" w:themeFillShade="F2"/>
            <w:vAlign w:val="center"/>
            <w:hideMark/>
          </w:tcPr>
          <w:p w14:paraId="28EE0167" w14:textId="77777777" w:rsidR="00012B55" w:rsidRPr="00012B55" w:rsidRDefault="00012B55" w:rsidP="008A6AC5">
            <w:pPr>
              <w:spacing w:after="0"/>
              <w:rPr>
                <w:rFonts w:cstheme="minorHAnsi"/>
                <w:sz w:val="22"/>
                <w:szCs w:val="22"/>
              </w:rPr>
            </w:pPr>
            <w:r w:rsidRPr="00012B55">
              <w:rPr>
                <w:rFonts w:cstheme="minorHAnsi"/>
                <w:sz w:val="22"/>
                <w:szCs w:val="22"/>
              </w:rPr>
              <w:t>FRT installed by an out-of-state operation</w:t>
            </w:r>
          </w:p>
        </w:tc>
        <w:tc>
          <w:tcPr>
            <w:tcW w:w="0" w:type="auto"/>
            <w:vAlign w:val="center"/>
            <w:hideMark/>
          </w:tcPr>
          <w:p w14:paraId="4DB89C71" w14:textId="77777777" w:rsidR="00012B55" w:rsidRPr="00012B55" w:rsidRDefault="00012B55" w:rsidP="008A6AC5">
            <w:pPr>
              <w:spacing w:after="0"/>
              <w:rPr>
                <w:rFonts w:cstheme="minorHAnsi"/>
                <w:sz w:val="22"/>
                <w:szCs w:val="22"/>
              </w:rPr>
            </w:pPr>
            <w:r w:rsidRPr="00012B55">
              <w:rPr>
                <w:rFonts w:cstheme="minorHAnsi"/>
                <w:sz w:val="22"/>
                <w:szCs w:val="22"/>
              </w:rPr>
              <w:t>Depends on that operation’s FFL classification and the firearm configuration</w:t>
            </w:r>
          </w:p>
        </w:tc>
        <w:tc>
          <w:tcPr>
            <w:tcW w:w="0" w:type="auto"/>
            <w:vAlign w:val="center"/>
            <w:hideMark/>
          </w:tcPr>
          <w:p w14:paraId="3E567497" w14:textId="77777777" w:rsidR="00012B55" w:rsidRPr="00012B55" w:rsidRDefault="00012B55" w:rsidP="008A6AC5">
            <w:pPr>
              <w:spacing w:after="0"/>
              <w:rPr>
                <w:rFonts w:cstheme="minorHAnsi"/>
                <w:sz w:val="22"/>
                <w:szCs w:val="22"/>
              </w:rPr>
            </w:pPr>
            <w:r w:rsidRPr="00012B55">
              <w:rPr>
                <w:rFonts w:cstheme="minorHAnsi"/>
                <w:sz w:val="22"/>
                <w:szCs w:val="22"/>
              </w:rPr>
              <w:t>Potentially viable if the trigger never enters Florida and the relevant offer, installation, inventory, and fulfillment activities genuinely occur outside Florida</w:t>
            </w:r>
          </w:p>
        </w:tc>
      </w:tr>
      <w:tr w:rsidR="00012B55" w:rsidRPr="00012B55" w14:paraId="469C9075" w14:textId="77777777" w:rsidTr="00613788">
        <w:trPr>
          <w:tblCellSpacing w:w="15" w:type="dxa"/>
        </w:trPr>
        <w:tc>
          <w:tcPr>
            <w:tcW w:w="0" w:type="auto"/>
            <w:shd w:val="clear" w:color="auto" w:fill="F2F2F2" w:themeFill="background1" w:themeFillShade="F2"/>
            <w:vAlign w:val="center"/>
            <w:hideMark/>
          </w:tcPr>
          <w:p w14:paraId="0D050055" w14:textId="77777777" w:rsidR="00012B55" w:rsidRPr="00012B55" w:rsidRDefault="00012B55" w:rsidP="008A6AC5">
            <w:pPr>
              <w:spacing w:after="0"/>
              <w:rPr>
                <w:rFonts w:cstheme="minorHAnsi"/>
                <w:sz w:val="22"/>
                <w:szCs w:val="22"/>
              </w:rPr>
            </w:pPr>
            <w:r w:rsidRPr="00012B55">
              <w:rPr>
                <w:rFonts w:cstheme="minorHAnsi"/>
                <w:sz w:val="22"/>
                <w:szCs w:val="22"/>
              </w:rPr>
              <w:t>Customer-owned firearm sent for installation</w:t>
            </w:r>
          </w:p>
        </w:tc>
        <w:tc>
          <w:tcPr>
            <w:tcW w:w="0" w:type="auto"/>
            <w:vAlign w:val="center"/>
            <w:hideMark/>
          </w:tcPr>
          <w:p w14:paraId="13EA633F" w14:textId="77777777" w:rsidR="00012B55" w:rsidRPr="00012B55" w:rsidRDefault="00012B55" w:rsidP="008A6AC5">
            <w:pPr>
              <w:spacing w:after="0"/>
              <w:rPr>
                <w:rFonts w:cstheme="minorHAnsi"/>
                <w:sz w:val="22"/>
                <w:szCs w:val="22"/>
              </w:rPr>
            </w:pPr>
            <w:r w:rsidRPr="00012B55">
              <w:rPr>
                <w:rFonts w:cstheme="minorHAnsi"/>
                <w:sz w:val="22"/>
                <w:szCs w:val="22"/>
              </w:rPr>
              <w:t>Gunsmith rules may apply federally</w:t>
            </w:r>
          </w:p>
        </w:tc>
        <w:tc>
          <w:tcPr>
            <w:tcW w:w="0" w:type="auto"/>
            <w:vAlign w:val="center"/>
            <w:hideMark/>
          </w:tcPr>
          <w:p w14:paraId="21EE1B5D" w14:textId="77777777" w:rsidR="00012B55" w:rsidRPr="00012B55" w:rsidRDefault="00012B55" w:rsidP="008A6AC5">
            <w:pPr>
              <w:spacing w:after="0"/>
              <w:rPr>
                <w:rFonts w:cstheme="minorHAnsi"/>
                <w:sz w:val="22"/>
                <w:szCs w:val="22"/>
              </w:rPr>
            </w:pPr>
            <w:r w:rsidRPr="00012B55">
              <w:rPr>
                <w:rFonts w:cstheme="minorHAnsi"/>
                <w:sz w:val="22"/>
                <w:szCs w:val="22"/>
              </w:rPr>
              <w:t>Still problematic if the trigger or configured firearm is possessed and installation occurs in Florida</w:t>
            </w:r>
          </w:p>
        </w:tc>
      </w:tr>
    </w:tbl>
    <w:p w14:paraId="7F5EB1E4" w14:textId="77777777" w:rsidR="00012B55" w:rsidRPr="00012B55" w:rsidRDefault="00012B55" w:rsidP="00613788">
      <w:pPr>
        <w:spacing w:before="240" w:after="60"/>
        <w:jc w:val="both"/>
        <w:rPr>
          <w:rFonts w:cstheme="minorHAnsi"/>
          <w:b/>
          <w:bCs/>
          <w:sz w:val="22"/>
          <w:szCs w:val="22"/>
        </w:rPr>
      </w:pPr>
      <w:r w:rsidRPr="00012B55">
        <w:rPr>
          <w:rFonts w:cstheme="minorHAnsi"/>
          <w:b/>
          <w:bCs/>
          <w:sz w:val="22"/>
          <w:szCs w:val="22"/>
        </w:rPr>
        <w:t>Interstate firearm-transfer requirements</w:t>
      </w:r>
    </w:p>
    <w:p w14:paraId="6EDB6C6A" w14:textId="77777777" w:rsidR="00012B55" w:rsidRPr="00012B55" w:rsidRDefault="00012B55" w:rsidP="00012B55">
      <w:pPr>
        <w:spacing w:after="60"/>
        <w:jc w:val="both"/>
        <w:rPr>
          <w:rFonts w:cstheme="minorHAnsi"/>
          <w:sz w:val="22"/>
          <w:szCs w:val="22"/>
        </w:rPr>
      </w:pPr>
      <w:r w:rsidRPr="00012B55">
        <w:rPr>
          <w:rFonts w:cstheme="minorHAnsi"/>
          <w:sz w:val="22"/>
          <w:szCs w:val="22"/>
        </w:rPr>
        <w:t>For a firearm with an FRT installed:</w:t>
      </w:r>
    </w:p>
    <w:p w14:paraId="72DB109F" w14:textId="77777777" w:rsidR="00012B55" w:rsidRPr="00012B55" w:rsidRDefault="00012B55" w:rsidP="00012B55">
      <w:pPr>
        <w:numPr>
          <w:ilvl w:val="0"/>
          <w:numId w:val="13"/>
        </w:numPr>
        <w:spacing w:after="60"/>
        <w:jc w:val="both"/>
        <w:rPr>
          <w:rFonts w:cstheme="minorHAnsi"/>
          <w:sz w:val="22"/>
          <w:szCs w:val="22"/>
        </w:rPr>
      </w:pPr>
      <w:r w:rsidRPr="00012B55">
        <w:rPr>
          <w:rFonts w:cstheme="minorHAnsi"/>
          <w:sz w:val="22"/>
          <w:szCs w:val="22"/>
        </w:rPr>
        <w:t>The Florida FFL generally may sell it to an out-of-state customer by shipping it to an FFL in the customer’s state.</w:t>
      </w:r>
    </w:p>
    <w:p w14:paraId="5919962D" w14:textId="77777777" w:rsidR="00012B55" w:rsidRPr="00012B55" w:rsidRDefault="00012B55" w:rsidP="00012B55">
      <w:pPr>
        <w:numPr>
          <w:ilvl w:val="0"/>
          <w:numId w:val="13"/>
        </w:numPr>
        <w:spacing w:after="60"/>
        <w:jc w:val="both"/>
        <w:rPr>
          <w:rFonts w:cstheme="minorHAnsi"/>
          <w:sz w:val="22"/>
          <w:szCs w:val="22"/>
        </w:rPr>
      </w:pPr>
      <w:r w:rsidRPr="00012B55">
        <w:rPr>
          <w:rFonts w:cstheme="minorHAnsi"/>
          <w:sz w:val="22"/>
          <w:szCs w:val="22"/>
        </w:rPr>
        <w:t>The receiving FFL completes the Form 4473, NICS check, and destination-state transfer requirements.</w:t>
      </w:r>
    </w:p>
    <w:p w14:paraId="45A32446" w14:textId="77777777" w:rsidR="00012B55" w:rsidRPr="00012B55" w:rsidRDefault="00012B55" w:rsidP="00012B55">
      <w:pPr>
        <w:numPr>
          <w:ilvl w:val="0"/>
          <w:numId w:val="13"/>
        </w:numPr>
        <w:spacing w:after="60"/>
        <w:jc w:val="both"/>
        <w:rPr>
          <w:rFonts w:cstheme="minorHAnsi"/>
          <w:sz w:val="22"/>
          <w:szCs w:val="22"/>
        </w:rPr>
      </w:pPr>
      <w:r w:rsidRPr="00012B55">
        <w:rPr>
          <w:rFonts w:cstheme="minorHAnsi"/>
          <w:sz w:val="22"/>
          <w:szCs w:val="22"/>
        </w:rPr>
        <w:t>A Florida dealer ordinarily cannot ship the firearm directly to the out-of-state consumer.</w:t>
      </w:r>
    </w:p>
    <w:p w14:paraId="1EB368CC" w14:textId="77777777" w:rsidR="00012B55" w:rsidRPr="00012B55" w:rsidRDefault="00012B55" w:rsidP="00012B55">
      <w:pPr>
        <w:numPr>
          <w:ilvl w:val="0"/>
          <w:numId w:val="13"/>
        </w:numPr>
        <w:spacing w:after="60"/>
        <w:jc w:val="both"/>
        <w:rPr>
          <w:rFonts w:cstheme="minorHAnsi"/>
          <w:sz w:val="22"/>
          <w:szCs w:val="22"/>
        </w:rPr>
      </w:pPr>
      <w:r w:rsidRPr="00012B55">
        <w:rPr>
          <w:rFonts w:cstheme="minorHAnsi"/>
          <w:sz w:val="22"/>
          <w:szCs w:val="22"/>
        </w:rPr>
        <w:t>An over-the-counter sale of a complete rifle or shotgun to a nonresident can sometimes occur if it complies with federal law and the laws of both states, but that does not resolve the Florida FRT prohibition.</w:t>
      </w:r>
    </w:p>
    <w:p w14:paraId="63C82C01" w14:textId="77777777" w:rsidR="00012B55" w:rsidRPr="00012B55" w:rsidRDefault="00012B55" w:rsidP="00012B55">
      <w:pPr>
        <w:spacing w:after="60"/>
        <w:jc w:val="both"/>
        <w:rPr>
          <w:rFonts w:cstheme="minorHAnsi"/>
          <w:sz w:val="22"/>
          <w:szCs w:val="22"/>
        </w:rPr>
      </w:pPr>
      <w:r w:rsidRPr="00012B55">
        <w:rPr>
          <w:rFonts w:cstheme="minorHAnsi"/>
          <w:sz w:val="22"/>
          <w:szCs w:val="22"/>
        </w:rPr>
        <w:t xml:space="preserve">ATF summarizes these requirements in its current </w:t>
      </w:r>
      <w:hyperlink r:id="rId12" w:history="1">
        <w:r w:rsidRPr="00012B55">
          <w:rPr>
            <w:rStyle w:val="Hyperlink"/>
            <w:rFonts w:cstheme="minorHAnsi"/>
            <w:sz w:val="22"/>
            <w:szCs w:val="22"/>
          </w:rPr>
          <w:t>FFL Quick Reference and Best Practices Guide</w:t>
        </w:r>
      </w:hyperlink>
      <w:r w:rsidRPr="00012B55">
        <w:rPr>
          <w:rFonts w:cstheme="minorHAnsi"/>
          <w:sz w:val="22"/>
          <w:szCs w:val="22"/>
        </w:rPr>
        <w:t>.</w:t>
      </w:r>
    </w:p>
    <w:p w14:paraId="114D10A9" w14:textId="4AF993BC" w:rsidR="00012B55" w:rsidRPr="00012B55" w:rsidRDefault="00012B55" w:rsidP="00012B55">
      <w:pPr>
        <w:spacing w:after="120"/>
        <w:jc w:val="both"/>
        <w:rPr>
          <w:rFonts w:cstheme="minorHAnsi"/>
          <w:sz w:val="22"/>
          <w:szCs w:val="22"/>
        </w:rPr>
      </w:pPr>
      <w:r w:rsidRPr="00012B55">
        <w:rPr>
          <w:rFonts w:cstheme="minorHAnsi"/>
          <w:sz w:val="22"/>
          <w:szCs w:val="22"/>
        </w:rPr>
        <w:t>There is also a licensing question if you intend to acquire firearms, install FRTs, and resell the completed firearms as a regular product line. Depending on the installation process and business model, ATF could treat that as manufacturing requiring a Type 07 FFL, manufacturer markings/records, AFMER reporting, and potentially firearms excise-tax treatment</w:t>
      </w:r>
      <w:r w:rsidR="00613788">
        <w:rPr>
          <w:rFonts w:cstheme="minorHAnsi"/>
          <w:sz w:val="22"/>
          <w:szCs w:val="22"/>
        </w:rPr>
        <w:t xml:space="preserve">, </w:t>
      </w:r>
      <w:r w:rsidRPr="00012B55">
        <w:rPr>
          <w:rFonts w:cstheme="minorHAnsi"/>
          <w:sz w:val="22"/>
          <w:szCs w:val="22"/>
        </w:rPr>
        <w:t>not merely Type 01 gunsmithing. Simple drop-in work is not invariably manufacturing, but an FRT product line should receive a specific classification analysis.</w:t>
      </w:r>
    </w:p>
    <w:p w14:paraId="095BE1DB" w14:textId="77777777" w:rsidR="00012B55" w:rsidRPr="008B0EB9" w:rsidRDefault="00012B55" w:rsidP="00012B55">
      <w:pPr>
        <w:spacing w:after="60"/>
        <w:jc w:val="both"/>
        <w:rPr>
          <w:rFonts w:cstheme="minorHAnsi"/>
          <w:b/>
          <w:bCs/>
          <w:sz w:val="22"/>
          <w:szCs w:val="22"/>
          <w:u w:val="single"/>
        </w:rPr>
      </w:pPr>
      <w:r w:rsidRPr="008B0EB9">
        <w:rPr>
          <w:rFonts w:cstheme="minorHAnsi"/>
          <w:b/>
          <w:bCs/>
          <w:sz w:val="22"/>
          <w:szCs w:val="22"/>
          <w:u w:val="single"/>
        </w:rPr>
        <w:lastRenderedPageBreak/>
        <w:t>My present conclusion is:</w:t>
      </w:r>
    </w:p>
    <w:p w14:paraId="24F44FF9" w14:textId="77777777" w:rsidR="00012B55" w:rsidRPr="00012B55" w:rsidRDefault="00012B55" w:rsidP="00012B55">
      <w:pPr>
        <w:numPr>
          <w:ilvl w:val="0"/>
          <w:numId w:val="14"/>
        </w:numPr>
        <w:spacing w:after="60"/>
        <w:jc w:val="both"/>
        <w:rPr>
          <w:rFonts w:cstheme="minorHAnsi"/>
          <w:sz w:val="22"/>
          <w:szCs w:val="22"/>
        </w:rPr>
      </w:pPr>
      <w:r w:rsidRPr="00012B55">
        <w:rPr>
          <w:rFonts w:cstheme="minorHAnsi"/>
          <w:b/>
          <w:bCs/>
          <w:sz w:val="22"/>
          <w:szCs w:val="22"/>
        </w:rPr>
        <w:t>Selling only to non-Florida residents does not adequately solve the Florida issue.</w:t>
      </w:r>
    </w:p>
    <w:p w14:paraId="4BACCCE3" w14:textId="77777777" w:rsidR="00012B55" w:rsidRPr="00012B55" w:rsidRDefault="00012B55" w:rsidP="00012B55">
      <w:pPr>
        <w:numPr>
          <w:ilvl w:val="0"/>
          <w:numId w:val="14"/>
        </w:numPr>
        <w:spacing w:after="60"/>
        <w:jc w:val="both"/>
        <w:rPr>
          <w:rFonts w:cstheme="minorHAnsi"/>
          <w:sz w:val="22"/>
          <w:szCs w:val="22"/>
        </w:rPr>
      </w:pPr>
      <w:r w:rsidRPr="00012B55">
        <w:rPr>
          <w:rFonts w:cstheme="minorHAnsi"/>
          <w:b/>
          <w:bCs/>
          <w:sz w:val="22"/>
          <w:szCs w:val="22"/>
        </w:rPr>
        <w:t>A Florida FFL should not inventory, install, offer, or ship FRTs from Florida based solely on federal legality.</w:t>
      </w:r>
    </w:p>
    <w:p w14:paraId="3F3CFA9B" w14:textId="77777777" w:rsidR="00012B55" w:rsidRPr="00012B55" w:rsidRDefault="00012B55" w:rsidP="00012B55">
      <w:pPr>
        <w:numPr>
          <w:ilvl w:val="0"/>
          <w:numId w:val="14"/>
        </w:numPr>
        <w:spacing w:after="60"/>
        <w:jc w:val="both"/>
        <w:rPr>
          <w:rFonts w:cstheme="minorHAnsi"/>
          <w:sz w:val="22"/>
          <w:szCs w:val="22"/>
        </w:rPr>
      </w:pPr>
      <w:r w:rsidRPr="00012B55">
        <w:rPr>
          <w:rFonts w:cstheme="minorHAnsi"/>
          <w:b/>
          <w:bCs/>
          <w:sz w:val="22"/>
          <w:szCs w:val="22"/>
        </w:rPr>
        <w:t>A defensible Florida operation would require either:</w:t>
      </w:r>
    </w:p>
    <w:p w14:paraId="2166D37E" w14:textId="3F03A1B8" w:rsidR="00012B55" w:rsidRPr="00012B55" w:rsidRDefault="00012B55" w:rsidP="00012B55">
      <w:pPr>
        <w:numPr>
          <w:ilvl w:val="1"/>
          <w:numId w:val="14"/>
        </w:numPr>
        <w:spacing w:after="60"/>
        <w:jc w:val="both"/>
        <w:rPr>
          <w:rFonts w:cstheme="minorHAnsi"/>
          <w:sz w:val="22"/>
          <w:szCs w:val="22"/>
        </w:rPr>
      </w:pPr>
      <w:r w:rsidRPr="00012B55">
        <w:rPr>
          <w:rFonts w:cstheme="minorHAnsi"/>
          <w:sz w:val="22"/>
          <w:szCs w:val="22"/>
        </w:rPr>
        <w:t>A product-specific conclusion from qualified Florida firearms counsel that the exact trigger falls outside § 790.222;</w:t>
      </w:r>
      <w:r w:rsidR="00183180">
        <w:rPr>
          <w:rFonts w:cstheme="minorHAnsi"/>
          <w:sz w:val="22"/>
          <w:szCs w:val="22"/>
        </w:rPr>
        <w:t xml:space="preserve"> and</w:t>
      </w:r>
    </w:p>
    <w:p w14:paraId="34FDD368" w14:textId="7E497AE4" w:rsidR="008B0EB9" w:rsidRDefault="008B0EB9" w:rsidP="00012B55">
      <w:pPr>
        <w:numPr>
          <w:ilvl w:val="1"/>
          <w:numId w:val="14"/>
        </w:numPr>
        <w:spacing w:after="60"/>
        <w:jc w:val="both"/>
        <w:rPr>
          <w:rFonts w:cstheme="minorHAnsi"/>
          <w:sz w:val="22"/>
          <w:szCs w:val="22"/>
        </w:rPr>
      </w:pPr>
      <w:r w:rsidRPr="008B0EB9">
        <w:rPr>
          <w:rFonts w:cstheme="minorHAnsi"/>
          <w:sz w:val="22"/>
          <w:szCs w:val="22"/>
        </w:rPr>
        <w:t xml:space="preserve">Declaratory Statement </w:t>
      </w:r>
      <w:r>
        <w:rPr>
          <w:rFonts w:cstheme="minorHAnsi"/>
          <w:sz w:val="22"/>
          <w:szCs w:val="22"/>
        </w:rPr>
        <w:t>by</w:t>
      </w:r>
      <w:r w:rsidRPr="008B0EB9">
        <w:rPr>
          <w:rFonts w:cstheme="minorHAnsi"/>
          <w:sz w:val="22"/>
          <w:szCs w:val="22"/>
        </w:rPr>
        <w:t xml:space="preserve"> the Florida Department of Law Enforcement</w:t>
      </w:r>
      <w:r>
        <w:rPr>
          <w:rFonts w:cstheme="minorHAnsi"/>
          <w:sz w:val="22"/>
          <w:szCs w:val="22"/>
        </w:rPr>
        <w:t xml:space="preserve"> (</w:t>
      </w:r>
      <w:r w:rsidRPr="008B0EB9">
        <w:rPr>
          <w:rFonts w:cstheme="minorHAnsi"/>
          <w:b/>
          <w:bCs/>
          <w:sz w:val="22"/>
          <w:szCs w:val="22"/>
        </w:rPr>
        <w:t>FDLE</w:t>
      </w:r>
      <w:r>
        <w:rPr>
          <w:rFonts w:cstheme="minorHAnsi"/>
          <w:sz w:val="22"/>
          <w:szCs w:val="22"/>
        </w:rPr>
        <w:t>)</w:t>
      </w:r>
      <w:r w:rsidRPr="008B0EB9">
        <w:rPr>
          <w:rFonts w:cstheme="minorHAnsi"/>
          <w:sz w:val="22"/>
          <w:szCs w:val="22"/>
        </w:rPr>
        <w:t xml:space="preserve"> Regarding the Applicability of § 790.222, Florida Statutes, to </w:t>
      </w:r>
      <w:r>
        <w:rPr>
          <w:rFonts w:cstheme="minorHAnsi"/>
          <w:sz w:val="22"/>
          <w:szCs w:val="22"/>
        </w:rPr>
        <w:t>specific manufacturer model.</w:t>
      </w:r>
    </w:p>
    <w:p w14:paraId="39664FEF" w14:textId="5B1E505D" w:rsidR="00012B55" w:rsidRPr="00012B55" w:rsidRDefault="00012B55" w:rsidP="00012B55">
      <w:pPr>
        <w:numPr>
          <w:ilvl w:val="1"/>
          <w:numId w:val="14"/>
        </w:numPr>
        <w:spacing w:after="60"/>
        <w:jc w:val="both"/>
        <w:rPr>
          <w:rFonts w:cstheme="minorHAnsi"/>
          <w:sz w:val="22"/>
          <w:szCs w:val="22"/>
        </w:rPr>
      </w:pPr>
      <w:r w:rsidRPr="00012B55">
        <w:rPr>
          <w:rFonts w:cstheme="minorHAnsi"/>
          <w:sz w:val="22"/>
          <w:szCs w:val="22"/>
        </w:rPr>
        <w:t>A genuinely separate out-of-state operation where the inventory, installation, sales fulfillment, and firearm disposition occur in a state permitting the activity.</w:t>
      </w:r>
    </w:p>
    <w:p w14:paraId="251567DB" w14:textId="77777777" w:rsidR="00012B55" w:rsidRPr="00012B55" w:rsidRDefault="00012B55" w:rsidP="00012B55">
      <w:pPr>
        <w:numPr>
          <w:ilvl w:val="0"/>
          <w:numId w:val="14"/>
        </w:numPr>
        <w:spacing w:after="60"/>
        <w:jc w:val="both"/>
        <w:rPr>
          <w:rFonts w:cstheme="minorHAnsi"/>
          <w:sz w:val="22"/>
          <w:szCs w:val="22"/>
        </w:rPr>
      </w:pPr>
      <w:r w:rsidRPr="00012B55">
        <w:rPr>
          <w:rFonts w:cstheme="minorHAnsi"/>
          <w:b/>
          <w:bCs/>
          <w:sz w:val="22"/>
          <w:szCs w:val="22"/>
        </w:rPr>
        <w:t>Every destination should be affirmatively whitelisted.</w:t>
      </w:r>
      <w:r w:rsidRPr="00012B55">
        <w:rPr>
          <w:rFonts w:cstheme="minorHAnsi"/>
          <w:sz w:val="22"/>
          <w:szCs w:val="22"/>
        </w:rPr>
        <w:t xml:space="preserve"> “Not obviously prohibited” is not enough. The review should cover the trigger itself, the resulting firearm configuration, dealer/import restrictions, local ordinances, age restrictions, and whether sales to receiving FFLs are permitted.</w:t>
      </w:r>
    </w:p>
    <w:p w14:paraId="413E0E4E" w14:textId="77777777" w:rsidR="00012B55" w:rsidRPr="00012B55" w:rsidRDefault="00012B55" w:rsidP="00012B55">
      <w:pPr>
        <w:numPr>
          <w:ilvl w:val="0"/>
          <w:numId w:val="14"/>
        </w:numPr>
        <w:spacing w:after="60"/>
        <w:jc w:val="both"/>
        <w:rPr>
          <w:rFonts w:cstheme="minorHAnsi"/>
          <w:sz w:val="22"/>
          <w:szCs w:val="22"/>
        </w:rPr>
      </w:pPr>
      <w:r w:rsidRPr="00012B55">
        <w:rPr>
          <w:rFonts w:cstheme="minorHAnsi"/>
          <w:b/>
          <w:bCs/>
          <w:sz w:val="22"/>
          <w:szCs w:val="22"/>
        </w:rPr>
        <w:t>Do not rely on an “FFL-to-FFL only” model as the Florida solution.</w:t>
      </w:r>
      <w:r w:rsidRPr="00012B55">
        <w:rPr>
          <w:rFonts w:cstheme="minorHAnsi"/>
          <w:sz w:val="22"/>
          <w:szCs w:val="22"/>
        </w:rPr>
        <w:t xml:space="preserve"> It helps with federal firearm-transfer compliance but does not create an exception to Florida’s possession, sale, offer-for-sale, or distribution prohibition.</w:t>
      </w:r>
    </w:p>
    <w:p w14:paraId="148D66F4" w14:textId="0ABD76FC" w:rsidR="00183180" w:rsidRDefault="00012B55" w:rsidP="002F6E03">
      <w:pPr>
        <w:spacing w:after="360"/>
        <w:jc w:val="both"/>
        <w:rPr>
          <w:rFonts w:cstheme="minorHAnsi"/>
          <w:sz w:val="22"/>
          <w:szCs w:val="22"/>
        </w:rPr>
      </w:pPr>
      <w:r w:rsidRPr="00012B55">
        <w:rPr>
          <w:rFonts w:cstheme="minorHAnsi"/>
          <w:sz w:val="22"/>
          <w:szCs w:val="22"/>
        </w:rPr>
        <w:t xml:space="preserve">The commercially safest structure is likely an out-of-state Type 07/01 operation or contracted out-of-state manufacturer/fulfillment FFL, coupled with a state-by-state SKU whitelist. </w:t>
      </w:r>
      <w:r w:rsidR="00613788">
        <w:rPr>
          <w:rFonts w:cstheme="minorHAnsi"/>
          <w:sz w:val="22"/>
          <w:szCs w:val="22"/>
        </w:rPr>
        <w:t>Any</w:t>
      </w:r>
      <w:r w:rsidRPr="00012B55">
        <w:rPr>
          <w:rFonts w:cstheme="minorHAnsi"/>
          <w:sz w:val="22"/>
          <w:szCs w:val="22"/>
        </w:rPr>
        <w:t xml:space="preserve"> Florida company’s role would still need careful structuring because accepting orders or making offers from Florida could itself be characterized as prohibited Florida conduct.</w:t>
      </w:r>
    </w:p>
    <w:p w14:paraId="2B34A9B7" w14:textId="15636FD3" w:rsidR="00183180" w:rsidRPr="00183180" w:rsidRDefault="00183180" w:rsidP="00012B55">
      <w:pPr>
        <w:spacing w:after="120"/>
        <w:jc w:val="both"/>
        <w:rPr>
          <w:rFonts w:cstheme="minorHAnsi"/>
          <w:b/>
          <w:bCs/>
          <w:sz w:val="22"/>
          <w:szCs w:val="22"/>
          <w:u w:val="single"/>
        </w:rPr>
      </w:pPr>
      <w:r w:rsidRPr="00183180">
        <w:rPr>
          <w:rFonts w:cstheme="minorHAnsi"/>
          <w:b/>
          <w:bCs/>
          <w:sz w:val="22"/>
          <w:szCs w:val="22"/>
          <w:u w:val="single"/>
        </w:rPr>
        <w:t>Attorney / Firm Recommendation</w:t>
      </w:r>
    </w:p>
    <w:p w14:paraId="54C2364A" w14:textId="059326A9" w:rsidR="00183180" w:rsidRPr="002F6E03" w:rsidRDefault="00183180" w:rsidP="00183180">
      <w:pPr>
        <w:spacing w:after="60"/>
        <w:rPr>
          <w:rFonts w:cstheme="minorHAnsi"/>
          <w:b/>
          <w:bCs/>
          <w:color w:val="C00000"/>
          <w:sz w:val="20"/>
          <w:szCs w:val="20"/>
        </w:rPr>
      </w:pPr>
      <w:r w:rsidRPr="002F6E03">
        <w:rPr>
          <w:rFonts w:cstheme="minorHAnsi"/>
          <w:b/>
          <w:bCs/>
          <w:color w:val="C00000"/>
          <w:sz w:val="20"/>
          <w:szCs w:val="20"/>
        </w:rPr>
        <w:t>The Firearm Firm</w:t>
      </w:r>
    </w:p>
    <w:p w14:paraId="79908226" w14:textId="580A1698" w:rsidR="002F6E03" w:rsidRPr="002F6E03" w:rsidRDefault="002F6E03" w:rsidP="00183180">
      <w:pPr>
        <w:spacing w:after="60"/>
        <w:rPr>
          <w:rFonts w:cstheme="minorHAnsi"/>
          <w:b/>
          <w:bCs/>
          <w:color w:val="C00000"/>
          <w:sz w:val="20"/>
          <w:szCs w:val="20"/>
        </w:rPr>
      </w:pPr>
      <w:r w:rsidRPr="002F6E03">
        <w:rPr>
          <w:rFonts w:cstheme="minorHAnsi"/>
          <w:b/>
          <w:bCs/>
          <w:color w:val="C00000"/>
          <w:sz w:val="20"/>
          <w:szCs w:val="20"/>
        </w:rPr>
        <w:t xml:space="preserve">David S. Katz </w:t>
      </w:r>
    </w:p>
    <w:p w14:paraId="39A99F82" w14:textId="4B98880E" w:rsidR="00183180" w:rsidRPr="00183180" w:rsidRDefault="00183180" w:rsidP="00183180">
      <w:pPr>
        <w:spacing w:after="60"/>
        <w:rPr>
          <w:rFonts w:cstheme="minorHAnsi"/>
          <w:sz w:val="20"/>
          <w:szCs w:val="20"/>
        </w:rPr>
      </w:pPr>
      <w:r w:rsidRPr="00183180">
        <w:rPr>
          <w:rFonts w:cstheme="minorHAnsi"/>
          <w:b/>
          <w:bCs/>
          <w:sz w:val="20"/>
          <w:szCs w:val="20"/>
        </w:rPr>
        <w:t>Orlando; statewide practice</w:t>
      </w:r>
      <w:r w:rsidRPr="00183180">
        <w:rPr>
          <w:rFonts w:cstheme="minorHAnsi"/>
          <w:sz w:val="20"/>
          <w:szCs w:val="20"/>
        </w:rPr>
        <w:br/>
      </w:r>
      <w:r w:rsidRPr="00183180">
        <w:rPr>
          <w:rFonts w:cstheme="minorHAnsi"/>
          <w:b/>
          <w:bCs/>
          <w:sz w:val="20"/>
          <w:szCs w:val="20"/>
        </w:rPr>
        <w:t>Phone:</w:t>
      </w:r>
      <w:r w:rsidRPr="00183180">
        <w:rPr>
          <w:rFonts w:cstheme="minorHAnsi"/>
          <w:sz w:val="20"/>
          <w:szCs w:val="20"/>
        </w:rPr>
        <w:t xml:space="preserve"> 321-425-8961</w:t>
      </w:r>
      <w:r w:rsidRPr="00183180">
        <w:rPr>
          <w:rFonts w:cstheme="minorHAnsi"/>
          <w:sz w:val="20"/>
          <w:szCs w:val="20"/>
        </w:rPr>
        <w:br/>
      </w:r>
      <w:r>
        <w:rPr>
          <w:rFonts w:cstheme="minorHAnsi"/>
          <w:sz w:val="20"/>
          <w:szCs w:val="20"/>
        </w:rPr>
        <w:t>www.thefirearmfirm.com</w:t>
      </w:r>
      <w:r>
        <w:rPr>
          <w:rFonts w:cstheme="minorHAnsi"/>
          <w:sz w:val="20"/>
          <w:szCs w:val="20"/>
        </w:rPr>
        <w:tab/>
        <w:t xml:space="preserve"> </w:t>
      </w:r>
    </w:p>
    <w:p w14:paraId="3B5903E9" w14:textId="092CC260" w:rsidR="00183180" w:rsidRPr="00183180" w:rsidRDefault="00183180" w:rsidP="002F6E03">
      <w:pPr>
        <w:spacing w:after="60"/>
        <w:ind w:left="360"/>
        <w:rPr>
          <w:rFonts w:cstheme="minorHAnsi"/>
          <w:sz w:val="20"/>
          <w:szCs w:val="20"/>
        </w:rPr>
      </w:pPr>
      <w:r w:rsidRPr="00183180">
        <w:rPr>
          <w:rFonts w:cstheme="minorHAnsi"/>
          <w:b/>
          <w:bCs/>
          <w:sz w:val="20"/>
          <w:szCs w:val="20"/>
          <w:u w:val="single"/>
        </w:rPr>
        <w:t>Reasoning</w:t>
      </w:r>
      <w:r>
        <w:rPr>
          <w:rFonts w:cstheme="minorHAnsi"/>
          <w:sz w:val="20"/>
          <w:szCs w:val="20"/>
        </w:rPr>
        <w:t>:</w:t>
      </w:r>
    </w:p>
    <w:p w14:paraId="60F7D8A2" w14:textId="77777777" w:rsidR="00183180" w:rsidRPr="00183180" w:rsidRDefault="00183180" w:rsidP="002F6E03">
      <w:pPr>
        <w:numPr>
          <w:ilvl w:val="0"/>
          <w:numId w:val="15"/>
        </w:numPr>
        <w:tabs>
          <w:tab w:val="clear" w:pos="720"/>
          <w:tab w:val="num" w:pos="1080"/>
        </w:tabs>
        <w:spacing w:after="60"/>
        <w:ind w:left="1080"/>
        <w:rPr>
          <w:rFonts w:cstheme="minorHAnsi"/>
          <w:sz w:val="20"/>
          <w:szCs w:val="20"/>
        </w:rPr>
      </w:pPr>
      <w:r w:rsidRPr="00183180">
        <w:rPr>
          <w:rFonts w:cstheme="minorHAnsi"/>
          <w:sz w:val="20"/>
          <w:szCs w:val="20"/>
        </w:rPr>
        <w:t xml:space="preserve">His practice is exclusively devoted to Florida firearms matters. </w:t>
      </w:r>
    </w:p>
    <w:p w14:paraId="1F3EBAA3" w14:textId="77777777" w:rsidR="00183180" w:rsidRPr="00183180" w:rsidRDefault="00183180" w:rsidP="002F6E03">
      <w:pPr>
        <w:numPr>
          <w:ilvl w:val="0"/>
          <w:numId w:val="15"/>
        </w:numPr>
        <w:tabs>
          <w:tab w:val="clear" w:pos="720"/>
          <w:tab w:val="num" w:pos="1080"/>
        </w:tabs>
        <w:spacing w:after="60"/>
        <w:ind w:left="1080"/>
        <w:rPr>
          <w:rFonts w:cstheme="minorHAnsi"/>
          <w:sz w:val="20"/>
          <w:szCs w:val="20"/>
        </w:rPr>
      </w:pPr>
      <w:r w:rsidRPr="00183180">
        <w:rPr>
          <w:rFonts w:cstheme="minorHAnsi"/>
          <w:sz w:val="20"/>
          <w:szCs w:val="20"/>
        </w:rPr>
        <w:t xml:space="preserve">He co-authored </w:t>
      </w:r>
      <w:r w:rsidRPr="00183180">
        <w:rPr>
          <w:rFonts w:cstheme="minorHAnsi"/>
          <w:i/>
          <w:iCs/>
          <w:sz w:val="20"/>
          <w:szCs w:val="20"/>
        </w:rPr>
        <w:t>Florida Gun Law: Armed and Educated</w:t>
      </w:r>
      <w:r w:rsidRPr="00183180">
        <w:rPr>
          <w:rFonts w:cstheme="minorHAnsi"/>
          <w:sz w:val="20"/>
          <w:szCs w:val="20"/>
        </w:rPr>
        <w:t xml:space="preserve">. </w:t>
      </w:r>
    </w:p>
    <w:p w14:paraId="448AB563" w14:textId="77777777" w:rsidR="00183180" w:rsidRPr="00183180" w:rsidRDefault="00183180" w:rsidP="002F6E03">
      <w:pPr>
        <w:numPr>
          <w:ilvl w:val="0"/>
          <w:numId w:val="15"/>
        </w:numPr>
        <w:tabs>
          <w:tab w:val="clear" w:pos="720"/>
          <w:tab w:val="num" w:pos="1080"/>
        </w:tabs>
        <w:spacing w:after="60"/>
        <w:ind w:left="1080"/>
        <w:rPr>
          <w:rFonts w:cstheme="minorHAnsi"/>
          <w:sz w:val="20"/>
          <w:szCs w:val="20"/>
        </w:rPr>
      </w:pPr>
      <w:r w:rsidRPr="00183180">
        <w:rPr>
          <w:rFonts w:cstheme="minorHAnsi"/>
          <w:sz w:val="20"/>
          <w:szCs w:val="20"/>
        </w:rPr>
        <w:t xml:space="preserve">He is a former Florida prosecutor. </w:t>
      </w:r>
    </w:p>
    <w:p w14:paraId="185D7D52" w14:textId="77777777" w:rsidR="00183180" w:rsidRDefault="00183180" w:rsidP="002F6E03">
      <w:pPr>
        <w:numPr>
          <w:ilvl w:val="0"/>
          <w:numId w:val="15"/>
        </w:numPr>
        <w:tabs>
          <w:tab w:val="clear" w:pos="720"/>
          <w:tab w:val="num" w:pos="1080"/>
        </w:tabs>
        <w:spacing w:after="240"/>
        <w:ind w:left="1080"/>
        <w:rPr>
          <w:rFonts w:cstheme="minorHAnsi"/>
          <w:sz w:val="20"/>
          <w:szCs w:val="20"/>
        </w:rPr>
      </w:pPr>
      <w:r w:rsidRPr="00183180">
        <w:rPr>
          <w:rFonts w:cstheme="minorHAnsi"/>
          <w:sz w:val="20"/>
          <w:szCs w:val="20"/>
        </w:rPr>
        <w:t>Most importantly, he has already published an analysis specifically addressing FRTs under § 790.222.</w:t>
      </w:r>
    </w:p>
    <w:p w14:paraId="546F8763" w14:textId="69F1F3B5" w:rsidR="002F6E03" w:rsidRPr="002F6E03" w:rsidRDefault="00183180" w:rsidP="00183180">
      <w:pPr>
        <w:spacing w:after="60"/>
        <w:rPr>
          <w:rFonts w:cstheme="minorHAnsi"/>
          <w:b/>
          <w:bCs/>
          <w:color w:val="C00000"/>
          <w:sz w:val="20"/>
          <w:szCs w:val="20"/>
        </w:rPr>
      </w:pPr>
      <w:r w:rsidRPr="002F6E03">
        <w:rPr>
          <w:rFonts w:cstheme="minorHAnsi"/>
          <w:b/>
          <w:bCs/>
          <w:color w:val="C00000"/>
          <w:sz w:val="20"/>
          <w:szCs w:val="20"/>
        </w:rPr>
        <w:t xml:space="preserve">The </w:t>
      </w:r>
      <w:r w:rsidR="002F6E03" w:rsidRPr="002F6E03">
        <w:rPr>
          <w:rFonts w:cstheme="minorHAnsi"/>
          <w:b/>
          <w:bCs/>
          <w:color w:val="C00000"/>
          <w:sz w:val="20"/>
          <w:szCs w:val="20"/>
        </w:rPr>
        <w:t>Wilbur Smith Law Firm</w:t>
      </w:r>
    </w:p>
    <w:p w14:paraId="55A9B0D6" w14:textId="77777777" w:rsidR="002F6E03" w:rsidRPr="002F6E03" w:rsidRDefault="002F6E03" w:rsidP="002F6E03">
      <w:pPr>
        <w:spacing w:after="60"/>
        <w:rPr>
          <w:rFonts w:cstheme="minorHAnsi"/>
          <w:b/>
          <w:bCs/>
          <w:color w:val="C00000"/>
          <w:sz w:val="20"/>
          <w:szCs w:val="20"/>
        </w:rPr>
      </w:pPr>
      <w:r w:rsidRPr="002F6E03">
        <w:rPr>
          <w:rFonts w:cstheme="minorHAnsi"/>
          <w:b/>
          <w:bCs/>
          <w:color w:val="C00000"/>
          <w:sz w:val="20"/>
          <w:szCs w:val="20"/>
        </w:rPr>
        <w:t>Sawyer Smith</w:t>
      </w:r>
    </w:p>
    <w:p w14:paraId="4C817D4E" w14:textId="374E5DC1" w:rsidR="002F6E03" w:rsidRPr="002F6E03" w:rsidRDefault="002F6E03" w:rsidP="00183180">
      <w:pPr>
        <w:spacing w:after="60"/>
        <w:rPr>
          <w:rFonts w:cstheme="minorHAnsi"/>
          <w:b/>
          <w:bCs/>
          <w:sz w:val="20"/>
          <w:szCs w:val="20"/>
        </w:rPr>
      </w:pPr>
      <w:r w:rsidRPr="002F6E03">
        <w:rPr>
          <w:rFonts w:cstheme="minorHAnsi"/>
          <w:b/>
          <w:bCs/>
          <w:sz w:val="20"/>
          <w:szCs w:val="20"/>
        </w:rPr>
        <w:t>Lee County, Fort Myers</w:t>
      </w:r>
    </w:p>
    <w:p w14:paraId="2FC69F14" w14:textId="571FD72D" w:rsidR="002F6E03" w:rsidRDefault="002F6E03" w:rsidP="00183180">
      <w:pPr>
        <w:spacing w:after="60"/>
        <w:rPr>
          <w:rFonts w:cstheme="minorHAnsi"/>
          <w:sz w:val="20"/>
          <w:szCs w:val="20"/>
        </w:rPr>
      </w:pPr>
      <w:r w:rsidRPr="002F6E03">
        <w:rPr>
          <w:rFonts w:cstheme="minorHAnsi"/>
          <w:b/>
          <w:bCs/>
          <w:sz w:val="20"/>
          <w:szCs w:val="20"/>
        </w:rPr>
        <w:t>Phone</w:t>
      </w:r>
      <w:r>
        <w:rPr>
          <w:rFonts w:cstheme="minorHAnsi"/>
          <w:sz w:val="20"/>
          <w:szCs w:val="20"/>
        </w:rPr>
        <w:t>: 239-334-7696</w:t>
      </w:r>
    </w:p>
    <w:p w14:paraId="2C774A5F" w14:textId="5B46EA78" w:rsidR="002F6E03" w:rsidRDefault="002F6E03" w:rsidP="00183180">
      <w:pPr>
        <w:spacing w:after="60"/>
        <w:rPr>
          <w:rFonts w:cstheme="minorHAnsi"/>
          <w:sz w:val="20"/>
          <w:szCs w:val="20"/>
        </w:rPr>
      </w:pPr>
      <w:r>
        <w:rPr>
          <w:rFonts w:cstheme="minorHAnsi"/>
          <w:sz w:val="20"/>
          <w:szCs w:val="20"/>
        </w:rPr>
        <w:t>www.Wilbursmith.law</w:t>
      </w:r>
    </w:p>
    <w:p w14:paraId="0384A03A" w14:textId="77777777" w:rsidR="00183180" w:rsidRPr="00183180" w:rsidRDefault="00183180" w:rsidP="00183180">
      <w:pPr>
        <w:spacing w:after="60"/>
        <w:ind w:left="360"/>
        <w:rPr>
          <w:rFonts w:cstheme="minorHAnsi"/>
          <w:sz w:val="20"/>
          <w:szCs w:val="20"/>
        </w:rPr>
      </w:pPr>
    </w:p>
    <w:p w14:paraId="082B3004" w14:textId="49F6D07C" w:rsidR="00183180" w:rsidRPr="00183180" w:rsidRDefault="00183180" w:rsidP="00183180">
      <w:pPr>
        <w:spacing w:after="60"/>
        <w:jc w:val="both"/>
        <w:rPr>
          <w:rFonts w:cstheme="minorHAnsi"/>
          <w:sz w:val="20"/>
          <w:szCs w:val="20"/>
        </w:rPr>
      </w:pPr>
      <w:hyperlink r:id="rId13" w:history="1">
        <w:r w:rsidRPr="00EB0F6A">
          <w:rPr>
            <w:rStyle w:val="Hyperlink"/>
            <w:rFonts w:cstheme="minorHAnsi"/>
            <w:sz w:val="20"/>
            <w:szCs w:val="20"/>
          </w:rPr>
          <w:t>https://www.thefirearmfirm.com/blog/2022/august/trigger-modifications-a</w:t>
        </w:r>
        <w:r w:rsidRPr="00EB0F6A">
          <w:rPr>
            <w:rStyle w:val="Hyperlink"/>
            <w:rFonts w:cstheme="minorHAnsi"/>
            <w:sz w:val="20"/>
            <w:szCs w:val="20"/>
          </w:rPr>
          <w:t>n</w:t>
        </w:r>
        <w:r w:rsidRPr="00EB0F6A">
          <w:rPr>
            <w:rStyle w:val="Hyperlink"/>
            <w:rFonts w:cstheme="minorHAnsi"/>
            <w:sz w:val="20"/>
            <w:szCs w:val="20"/>
          </w:rPr>
          <w:t>d-florida-law/</w:t>
        </w:r>
      </w:hyperlink>
    </w:p>
    <w:p w14:paraId="7BDDCB63" w14:textId="6761ABF5" w:rsidR="00183180" w:rsidRPr="00183180" w:rsidRDefault="00183180" w:rsidP="00183180">
      <w:pPr>
        <w:spacing w:after="60"/>
        <w:jc w:val="both"/>
        <w:rPr>
          <w:rFonts w:cstheme="minorHAnsi"/>
          <w:sz w:val="20"/>
          <w:szCs w:val="20"/>
        </w:rPr>
      </w:pPr>
      <w:hyperlink r:id="rId14" w:history="1">
        <w:r w:rsidRPr="00EB0F6A">
          <w:rPr>
            <w:rStyle w:val="Hyperlink"/>
            <w:rFonts w:cstheme="minorHAnsi"/>
            <w:sz w:val="20"/>
            <w:szCs w:val="20"/>
          </w:rPr>
          <w:t>https://www.thefirearmfirm.com/blog/2018/october/legislative-update-bump-stocks/</w:t>
        </w:r>
      </w:hyperlink>
      <w:r w:rsidRPr="00183180">
        <w:rPr>
          <w:rFonts w:cstheme="minorHAnsi"/>
          <w:sz w:val="20"/>
          <w:szCs w:val="20"/>
        </w:rPr>
        <w:t xml:space="preserve">   </w:t>
      </w:r>
    </w:p>
    <w:p w14:paraId="3E304048" w14:textId="0961DF3A" w:rsidR="00183180" w:rsidRPr="00012B55" w:rsidRDefault="00183180" w:rsidP="002F6E03">
      <w:pPr>
        <w:spacing w:after="240"/>
        <w:jc w:val="both"/>
        <w:rPr>
          <w:rFonts w:cstheme="minorHAnsi"/>
          <w:sz w:val="20"/>
          <w:szCs w:val="20"/>
        </w:rPr>
      </w:pPr>
      <w:hyperlink r:id="rId15" w:history="1">
        <w:r w:rsidRPr="00EB0F6A">
          <w:rPr>
            <w:rStyle w:val="Hyperlink"/>
            <w:rFonts w:cstheme="minorHAnsi"/>
            <w:sz w:val="20"/>
            <w:szCs w:val="20"/>
          </w:rPr>
          <w:t>https://www.leg.state.fl.us/Statutes/index.cfm?App_mode=Display_Statute&amp;Search_String=&amp;URL=0700-0799/0790/Sections/0790.222.html</w:t>
        </w:r>
      </w:hyperlink>
      <w:r w:rsidRPr="00183180">
        <w:rPr>
          <w:rFonts w:cstheme="minorHAnsi"/>
          <w:sz w:val="20"/>
          <w:szCs w:val="20"/>
        </w:rPr>
        <w:t xml:space="preserve"> </w:t>
      </w:r>
    </w:p>
    <w:sectPr w:rsidR="00183180" w:rsidRPr="00012B55" w:rsidSect="008A6A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4C58"/>
    <w:multiLevelType w:val="multilevel"/>
    <w:tmpl w:val="1E48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344BC"/>
    <w:multiLevelType w:val="multilevel"/>
    <w:tmpl w:val="6AC2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20BBB"/>
    <w:multiLevelType w:val="multilevel"/>
    <w:tmpl w:val="4A540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4528AC"/>
    <w:multiLevelType w:val="multilevel"/>
    <w:tmpl w:val="F58C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663F38"/>
    <w:multiLevelType w:val="multilevel"/>
    <w:tmpl w:val="22C8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83D25"/>
    <w:multiLevelType w:val="multilevel"/>
    <w:tmpl w:val="F0DC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D3744F"/>
    <w:multiLevelType w:val="multilevel"/>
    <w:tmpl w:val="A89E3D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501B54"/>
    <w:multiLevelType w:val="multilevel"/>
    <w:tmpl w:val="13783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C4CE4"/>
    <w:multiLevelType w:val="multilevel"/>
    <w:tmpl w:val="F6AC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E268C"/>
    <w:multiLevelType w:val="multilevel"/>
    <w:tmpl w:val="15C0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6E5BEF"/>
    <w:multiLevelType w:val="multilevel"/>
    <w:tmpl w:val="7918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E81EE4"/>
    <w:multiLevelType w:val="multilevel"/>
    <w:tmpl w:val="9C74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BB5EEE"/>
    <w:multiLevelType w:val="multilevel"/>
    <w:tmpl w:val="1BE4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BB70CB"/>
    <w:multiLevelType w:val="multilevel"/>
    <w:tmpl w:val="E236E9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9553BE"/>
    <w:multiLevelType w:val="multilevel"/>
    <w:tmpl w:val="C38A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2389446">
    <w:abstractNumId w:val="10"/>
  </w:num>
  <w:num w:numId="2" w16cid:durableId="2098207849">
    <w:abstractNumId w:val="8"/>
  </w:num>
  <w:num w:numId="3" w16cid:durableId="2011368893">
    <w:abstractNumId w:val="2"/>
  </w:num>
  <w:num w:numId="4" w16cid:durableId="749158554">
    <w:abstractNumId w:val="4"/>
  </w:num>
  <w:num w:numId="5" w16cid:durableId="905456077">
    <w:abstractNumId w:val="0"/>
  </w:num>
  <w:num w:numId="6" w16cid:durableId="1598564003">
    <w:abstractNumId w:val="5"/>
  </w:num>
  <w:num w:numId="7" w16cid:durableId="1730953187">
    <w:abstractNumId w:val="13"/>
  </w:num>
  <w:num w:numId="8" w16cid:durableId="784734780">
    <w:abstractNumId w:val="12"/>
  </w:num>
  <w:num w:numId="9" w16cid:durableId="512113850">
    <w:abstractNumId w:val="1"/>
  </w:num>
  <w:num w:numId="10" w16cid:durableId="747771786">
    <w:abstractNumId w:val="11"/>
  </w:num>
  <w:num w:numId="11" w16cid:durableId="1761902447">
    <w:abstractNumId w:val="9"/>
  </w:num>
  <w:num w:numId="12" w16cid:durableId="109058105">
    <w:abstractNumId w:val="3"/>
  </w:num>
  <w:num w:numId="13" w16cid:durableId="359340">
    <w:abstractNumId w:val="14"/>
  </w:num>
  <w:num w:numId="14" w16cid:durableId="2147384744">
    <w:abstractNumId w:val="6"/>
  </w:num>
  <w:num w:numId="15" w16cid:durableId="19421799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55"/>
    <w:rsid w:val="00012B55"/>
    <w:rsid w:val="00183180"/>
    <w:rsid w:val="002437A0"/>
    <w:rsid w:val="002F6E03"/>
    <w:rsid w:val="00332655"/>
    <w:rsid w:val="0037415D"/>
    <w:rsid w:val="00551019"/>
    <w:rsid w:val="00613788"/>
    <w:rsid w:val="0066232F"/>
    <w:rsid w:val="008A6AC5"/>
    <w:rsid w:val="008B0EB9"/>
    <w:rsid w:val="00A91654"/>
    <w:rsid w:val="00C41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15207"/>
  <w15:chartTrackingRefBased/>
  <w15:docId w15:val="{E7E8CD5B-BBB5-49D0-BAB9-E86B0C92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2B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2B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2B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2B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2B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2B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B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B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B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2B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2B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2B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2B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2B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B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B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B55"/>
    <w:rPr>
      <w:rFonts w:eastAsiaTheme="majorEastAsia" w:cstheme="majorBidi"/>
      <w:color w:val="272727" w:themeColor="text1" w:themeTint="D8"/>
    </w:rPr>
  </w:style>
  <w:style w:type="paragraph" w:styleId="Title">
    <w:name w:val="Title"/>
    <w:basedOn w:val="Normal"/>
    <w:next w:val="Normal"/>
    <w:link w:val="TitleChar"/>
    <w:uiPriority w:val="10"/>
    <w:qFormat/>
    <w:rsid w:val="00012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B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B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B55"/>
    <w:pPr>
      <w:spacing w:before="160"/>
      <w:jc w:val="center"/>
    </w:pPr>
    <w:rPr>
      <w:i/>
      <w:iCs/>
      <w:color w:val="404040" w:themeColor="text1" w:themeTint="BF"/>
    </w:rPr>
  </w:style>
  <w:style w:type="character" w:customStyle="1" w:styleId="QuoteChar">
    <w:name w:val="Quote Char"/>
    <w:basedOn w:val="DefaultParagraphFont"/>
    <w:link w:val="Quote"/>
    <w:uiPriority w:val="29"/>
    <w:rsid w:val="00012B55"/>
    <w:rPr>
      <w:i/>
      <w:iCs/>
      <w:color w:val="404040" w:themeColor="text1" w:themeTint="BF"/>
    </w:rPr>
  </w:style>
  <w:style w:type="paragraph" w:styleId="ListParagraph">
    <w:name w:val="List Paragraph"/>
    <w:basedOn w:val="Normal"/>
    <w:uiPriority w:val="34"/>
    <w:qFormat/>
    <w:rsid w:val="00012B55"/>
    <w:pPr>
      <w:ind w:left="720"/>
      <w:contextualSpacing/>
    </w:pPr>
  </w:style>
  <w:style w:type="character" w:styleId="IntenseEmphasis">
    <w:name w:val="Intense Emphasis"/>
    <w:basedOn w:val="DefaultParagraphFont"/>
    <w:uiPriority w:val="21"/>
    <w:qFormat/>
    <w:rsid w:val="00012B55"/>
    <w:rPr>
      <w:i/>
      <w:iCs/>
      <w:color w:val="2F5496" w:themeColor="accent1" w:themeShade="BF"/>
    </w:rPr>
  </w:style>
  <w:style w:type="paragraph" w:styleId="IntenseQuote">
    <w:name w:val="Intense Quote"/>
    <w:basedOn w:val="Normal"/>
    <w:next w:val="Normal"/>
    <w:link w:val="IntenseQuoteChar"/>
    <w:uiPriority w:val="30"/>
    <w:qFormat/>
    <w:rsid w:val="00012B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2B55"/>
    <w:rPr>
      <w:i/>
      <w:iCs/>
      <w:color w:val="2F5496" w:themeColor="accent1" w:themeShade="BF"/>
    </w:rPr>
  </w:style>
  <w:style w:type="character" w:styleId="IntenseReference">
    <w:name w:val="Intense Reference"/>
    <w:basedOn w:val="DefaultParagraphFont"/>
    <w:uiPriority w:val="32"/>
    <w:qFormat/>
    <w:rsid w:val="00012B55"/>
    <w:rPr>
      <w:b/>
      <w:bCs/>
      <w:smallCaps/>
      <w:color w:val="2F5496" w:themeColor="accent1" w:themeShade="BF"/>
      <w:spacing w:val="5"/>
    </w:rPr>
  </w:style>
  <w:style w:type="character" w:styleId="Hyperlink">
    <w:name w:val="Hyperlink"/>
    <w:basedOn w:val="DefaultParagraphFont"/>
    <w:uiPriority w:val="99"/>
    <w:unhideWhenUsed/>
    <w:rsid w:val="00012B55"/>
    <w:rPr>
      <w:color w:val="0563C1" w:themeColor="hyperlink"/>
      <w:u w:val="single"/>
    </w:rPr>
  </w:style>
  <w:style w:type="character" w:styleId="UnresolvedMention">
    <w:name w:val="Unresolved Mention"/>
    <w:basedOn w:val="DefaultParagraphFont"/>
    <w:uiPriority w:val="99"/>
    <w:semiHidden/>
    <w:unhideWhenUsed/>
    <w:rsid w:val="00012B55"/>
    <w:rPr>
      <w:color w:val="605E5C"/>
      <w:shd w:val="clear" w:color="auto" w:fill="E1DFDD"/>
    </w:rPr>
  </w:style>
  <w:style w:type="character" w:styleId="FollowedHyperlink">
    <w:name w:val="FollowedHyperlink"/>
    <w:basedOn w:val="DefaultParagraphFont"/>
    <w:uiPriority w:val="99"/>
    <w:semiHidden/>
    <w:unhideWhenUsed/>
    <w:rsid w:val="006137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state.fl.us/statutes/index.cfm?App_mode=Display_Statute&amp;URL=0700-0799%2F0790%2FSections%2F0790.222.html" TargetMode="External"/><Relationship Id="rId13" Type="http://schemas.openxmlformats.org/officeDocument/2006/relationships/hyperlink" Target="https://www.thefirearmfirm.com/blog/2022/august/trigger-modifications-and-florida-law/"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tf.gov/firearms/tools-and-services-firearms-industry/current-licensees/federal-firearms-licensee-quick-reference-and-best-practices-gui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ustice.gov/opa/pr/department-justice-announces-settlement-litigation-between-federal-government-and-rare-breed" TargetMode="External"/><Relationship Id="rId5" Type="http://schemas.openxmlformats.org/officeDocument/2006/relationships/styles" Target="styles.xml"/><Relationship Id="rId15" Type="http://schemas.openxmlformats.org/officeDocument/2006/relationships/hyperlink" Target="https://www.leg.state.fl.us/Statutes/index.cfm?App_mode=Display_Statute&amp;Search_String=&amp;URL=0700-0799/0790/Sections/0790.222.html" TargetMode="External"/><Relationship Id="rId10" Type="http://schemas.openxmlformats.org/officeDocument/2006/relationships/hyperlink" Target="https://ecf.flmd.uscourts.gov/cgi-bin/show_public_doc?2018-01062-72-8-cv=" TargetMode="External"/><Relationship Id="rId4" Type="http://schemas.openxmlformats.org/officeDocument/2006/relationships/numbering" Target="numbering.xml"/><Relationship Id="rId9" Type="http://schemas.openxmlformats.org/officeDocument/2006/relationships/hyperlink" Target="https://www.flsenate.gov/Session/Bill/2026/6021" TargetMode="External"/><Relationship Id="rId14" Type="http://schemas.openxmlformats.org/officeDocument/2006/relationships/hyperlink" Target="https://www.thefirearmfirm.com/blog/2018/october/legislative-update-bump-stoc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CA752A7A03FB44A3E549685EDBA998" ma:contentTypeVersion="13" ma:contentTypeDescription="Create a new document." ma:contentTypeScope="" ma:versionID="03a0a21bb363b4c1b915f1165982b698">
  <xsd:schema xmlns:xsd="http://www.w3.org/2001/XMLSchema" xmlns:xs="http://www.w3.org/2001/XMLSchema" xmlns:p="http://schemas.microsoft.com/office/2006/metadata/properties" xmlns:ns1="http://schemas.microsoft.com/sharepoint/v3" xmlns:ns3="67d0bd59-1a7d-450b-83e4-37e33a2cbda7" targetNamespace="http://schemas.microsoft.com/office/2006/metadata/properties" ma:root="true" ma:fieldsID="4251006ae4b5537134b3b5f7c5c75dee" ns1:_="" ns3:_="">
    <xsd:import namespace="http://schemas.microsoft.com/sharepoint/v3"/>
    <xsd:import namespace="67d0bd59-1a7d-450b-83e4-37e33a2cbda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1:_ip_UnifiedCompliancePolicyProperties" minOccurs="0"/>
                <xsd:element ref="ns1:_ip_UnifiedCompliancePolicyUIAction"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d0bd59-1a7d-450b-83e4-37e33a2cbda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67d0bd59-1a7d-450b-83e4-37e33a2cbda7"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E2CEB57-1818-42C6-AB78-847B1B209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d0bd59-1a7d-450b-83e4-37e33a2cb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BBF53F-EB8C-4226-9F0D-34F9F2D5C0F5}">
  <ds:schemaRefs>
    <ds:schemaRef ds:uri="http://schemas.microsoft.com/sharepoint/v3/contenttype/forms"/>
  </ds:schemaRefs>
</ds:datastoreItem>
</file>

<file path=customXml/itemProps3.xml><?xml version="1.0" encoding="utf-8"?>
<ds:datastoreItem xmlns:ds="http://schemas.openxmlformats.org/officeDocument/2006/customXml" ds:itemID="{46E0370A-9B71-4615-A79B-74FDEFA29E52}">
  <ds:schemaRefs>
    <ds:schemaRef ds:uri="http://schemas.microsoft.com/office/2006/metadata/properties"/>
    <ds:schemaRef ds:uri="http://schemas.microsoft.com/office/infopath/2007/PartnerControls"/>
    <ds:schemaRef ds:uri="http://schemas.microsoft.com/sharepoint/v3"/>
    <ds:schemaRef ds:uri="67d0bd59-1a7d-450b-83e4-37e33a2cbda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1401</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MacPeek</dc:creator>
  <cp:keywords/>
  <dc:description/>
  <cp:lastModifiedBy>Lee MacPeek</cp:lastModifiedBy>
  <cp:revision>2</cp:revision>
  <cp:lastPrinted>2026-07-14T17:52:00Z</cp:lastPrinted>
  <dcterms:created xsi:type="dcterms:W3CDTF">2026-07-14T17:57:00Z</dcterms:created>
  <dcterms:modified xsi:type="dcterms:W3CDTF">2026-07-14T17:57:00Z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0x010100CCCA752A7A03FB44A3E549685EDBA998</vt:lpwstr>
  </property>
</Properties>
</file>