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C4870" w14:textId="77777777" w:rsidR="00557725" w:rsidRPr="00557725" w:rsidRDefault="00557725" w:rsidP="00557725">
      <w:pPr>
        <w:rPr>
          <w:b/>
          <w:bCs/>
        </w:rPr>
      </w:pPr>
      <w:r w:rsidRPr="00557725">
        <w:rPr>
          <w:b/>
          <w:bCs/>
        </w:rPr>
        <w:t>THE STAY IS OVER: WHAT THE NFA INJUNCTION NOW MEANS FOR FFLs NATIONWIDE</w:t>
      </w:r>
    </w:p>
    <w:p w14:paraId="26D3AD28" w14:textId="77777777" w:rsidR="00557725" w:rsidRPr="00557725" w:rsidRDefault="00557725" w:rsidP="00557725">
      <w:pPr>
        <w:rPr>
          <w:b/>
          <w:bCs/>
        </w:rPr>
      </w:pPr>
      <w:r w:rsidRPr="00557725">
        <w:rPr>
          <w:b/>
          <w:bCs/>
        </w:rPr>
        <w:t>The August 2026 ruling against ATF is now in effect. Here is what Federal Firearms Licensees need to understand about the injunction, suppressor transactions, NFA registration, covered customers, and the significant questions that remain.</w:t>
      </w:r>
    </w:p>
    <w:p w14:paraId="21A6A16A" w14:textId="77777777" w:rsidR="00557725" w:rsidRPr="00557725" w:rsidRDefault="00557725" w:rsidP="00557725">
      <w:proofErr w:type="spellStart"/>
      <w:r w:rsidRPr="00557725">
        <w:rPr>
          <w:b/>
          <w:bCs/>
        </w:rPr>
        <w:t>DeadEye</w:t>
      </w:r>
      <w:proofErr w:type="spellEnd"/>
      <w:r w:rsidRPr="00557725">
        <w:rPr>
          <w:b/>
          <w:bCs/>
        </w:rPr>
        <w:t xml:space="preserve"> Syndicate Legal Intelligence</w:t>
      </w:r>
      <w:r w:rsidRPr="00557725">
        <w:br/>
      </w:r>
      <w:r w:rsidRPr="00557725">
        <w:rPr>
          <w:b/>
          <w:bCs/>
        </w:rPr>
        <w:t>Updated August 21, 2026</w:t>
      </w:r>
    </w:p>
    <w:p w14:paraId="108B16BC" w14:textId="77777777" w:rsidR="00557725" w:rsidRPr="00557725" w:rsidRDefault="00557725" w:rsidP="00557725">
      <w:r w:rsidRPr="00557725">
        <w:t xml:space="preserve">On August 5, 2026, the United States District Court for the Northern District of Texas issued a major ruling in </w:t>
      </w:r>
      <w:r w:rsidRPr="00557725">
        <w:rPr>
          <w:i/>
          <w:iCs/>
        </w:rPr>
        <w:t>Silencer Shop Foundation v. Bureau of Alcohol, Tobacco, Firearms and Explosives</w:t>
      </w:r>
      <w:r w:rsidRPr="00557725">
        <w:t xml:space="preserve">, consolidated with </w:t>
      </w:r>
      <w:r w:rsidRPr="00557725">
        <w:rPr>
          <w:i/>
          <w:iCs/>
        </w:rPr>
        <w:t>Jensen v. ATF</w:t>
      </w:r>
      <w:r w:rsidRPr="00557725">
        <w:t>.</w:t>
      </w:r>
    </w:p>
    <w:p w14:paraId="42F3D8C1" w14:textId="77777777" w:rsidR="00557725" w:rsidRPr="00557725" w:rsidRDefault="00557725" w:rsidP="00557725">
      <w:r w:rsidRPr="00557725">
        <w:t>The court held that several regulatory provisions of the National Firearms Act could no longer constitutionally be enforced as to certain untaxed NFA firearms because Congress had eliminated the underlying making and transfer taxes that historically supported those regulations under Congress's taxing power.</w:t>
      </w:r>
    </w:p>
    <w:p w14:paraId="1FCF2F45" w14:textId="77777777" w:rsidR="00557725" w:rsidRPr="00557725" w:rsidRDefault="00557725" w:rsidP="00557725">
      <w:r w:rsidRPr="00557725">
        <w:t>The court then entered a permanent injunction against ATF and the Department of Justice.</w:t>
      </w:r>
    </w:p>
    <w:p w14:paraId="6A5524A8" w14:textId="77777777" w:rsidR="00557725" w:rsidRPr="00557725" w:rsidRDefault="00557725" w:rsidP="00557725">
      <w:r w:rsidRPr="00557725">
        <w:t>Initially, however, the court stayed its own judgment for seven days to give the federal government an opportunity to seek appellate relief.</w:t>
      </w:r>
    </w:p>
    <w:p w14:paraId="5F6C42E1" w14:textId="77777777" w:rsidR="00557725" w:rsidRPr="00557725" w:rsidRDefault="00557725" w:rsidP="00557725">
      <w:r w:rsidRPr="00557725">
        <w:t>That stay has now expired.</w:t>
      </w:r>
    </w:p>
    <w:p w14:paraId="574EA99F" w14:textId="77777777" w:rsidR="00557725" w:rsidRPr="00557725" w:rsidRDefault="00557725" w:rsidP="00557725">
      <w:r w:rsidRPr="00557725">
        <w:t xml:space="preserve">The seven </w:t>
      </w:r>
      <w:proofErr w:type="gramStart"/>
      <w:r w:rsidRPr="00557725">
        <w:t>day</w:t>
      </w:r>
      <w:proofErr w:type="gramEnd"/>
      <w:r w:rsidRPr="00557725">
        <w:t xml:space="preserve"> stay ended at </w:t>
      </w:r>
      <w:r w:rsidRPr="00557725">
        <w:rPr>
          <w:b/>
          <w:bCs/>
        </w:rPr>
        <w:t>12:01 a.m. Central Time on August 13, 2026</w:t>
      </w:r>
      <w:r w:rsidRPr="00557725">
        <w:t>, without the government obtaining an extension or appellate stay. The permanent injunction is therefore presently operative.</w:t>
      </w:r>
    </w:p>
    <w:p w14:paraId="7FCE2A93" w14:textId="77777777" w:rsidR="00557725" w:rsidRPr="00557725" w:rsidRDefault="00557725" w:rsidP="00557725">
      <w:r w:rsidRPr="00557725">
        <w:t>For FFLs, suppressor dealers, manufacturers, distributors, and customers, this is a significant development.</w:t>
      </w:r>
    </w:p>
    <w:p w14:paraId="2344463C" w14:textId="77777777" w:rsidR="00557725" w:rsidRPr="00557725" w:rsidRDefault="00557725" w:rsidP="00557725">
      <w:r w:rsidRPr="00557725">
        <w:t>It is also considerably more complicated than saying:</w:t>
      </w:r>
    </w:p>
    <w:p w14:paraId="0D4736F4" w14:textId="77777777" w:rsidR="00557725" w:rsidRPr="00557725" w:rsidRDefault="00557725" w:rsidP="00557725">
      <w:r w:rsidRPr="00557725">
        <w:rPr>
          <w:b/>
          <w:bCs/>
        </w:rPr>
        <w:t>“The NFA is gone.”</w:t>
      </w:r>
    </w:p>
    <w:p w14:paraId="0013E93D" w14:textId="77777777" w:rsidR="00557725" w:rsidRPr="00557725" w:rsidRDefault="00557725" w:rsidP="00557725">
      <w:r w:rsidRPr="00557725">
        <w:t>It is not.</w:t>
      </w:r>
    </w:p>
    <w:p w14:paraId="16E77E4A" w14:textId="77777777" w:rsidR="00557725" w:rsidRPr="00557725" w:rsidRDefault="00557725" w:rsidP="00557725">
      <w:pPr>
        <w:rPr>
          <w:b/>
          <w:bCs/>
        </w:rPr>
      </w:pPr>
      <w:r w:rsidRPr="00557725">
        <w:rPr>
          <w:b/>
          <w:bCs/>
        </w:rPr>
        <w:t>THE BOTTOM LINE</w:t>
      </w:r>
    </w:p>
    <w:p w14:paraId="49E4880B" w14:textId="77777777" w:rsidR="00557725" w:rsidRPr="00557725" w:rsidRDefault="00557725" w:rsidP="00557725">
      <w:r w:rsidRPr="00557725">
        <w:t>As things presently stand:</w:t>
      </w:r>
    </w:p>
    <w:p w14:paraId="5F43E71A" w14:textId="77777777" w:rsidR="00557725" w:rsidRPr="00557725" w:rsidRDefault="00557725" w:rsidP="00557725">
      <w:pPr>
        <w:numPr>
          <w:ilvl w:val="0"/>
          <w:numId w:val="1"/>
        </w:numPr>
      </w:pPr>
      <w:r w:rsidRPr="00557725">
        <w:t>The permanent injunction is in effect.</w:t>
      </w:r>
    </w:p>
    <w:p w14:paraId="4B05C7A8" w14:textId="77777777" w:rsidR="00557725" w:rsidRPr="00557725" w:rsidRDefault="00557725" w:rsidP="00557725">
      <w:pPr>
        <w:numPr>
          <w:ilvl w:val="0"/>
          <w:numId w:val="1"/>
        </w:numPr>
      </w:pPr>
      <w:r w:rsidRPr="00557725">
        <w:t>ATF and DOJ are prohibited from enforcing specified NFA provisions against the parties protected by the injunction.</w:t>
      </w:r>
    </w:p>
    <w:p w14:paraId="37C9517F" w14:textId="77777777" w:rsidR="00557725" w:rsidRPr="00557725" w:rsidRDefault="00557725" w:rsidP="00557725">
      <w:pPr>
        <w:numPr>
          <w:ilvl w:val="0"/>
          <w:numId w:val="1"/>
        </w:numPr>
      </w:pPr>
      <w:r w:rsidRPr="00557725">
        <w:lastRenderedPageBreak/>
        <w:t xml:space="preserve">The injunction is </w:t>
      </w:r>
      <w:r w:rsidRPr="00557725">
        <w:rPr>
          <w:b/>
          <w:bCs/>
        </w:rPr>
        <w:t>not universal</w:t>
      </w:r>
      <w:r w:rsidRPr="00557725">
        <w:t xml:space="preserve"> and does not automatically protect every person or every FFL in the country.</w:t>
      </w:r>
    </w:p>
    <w:p w14:paraId="41484A55" w14:textId="77777777" w:rsidR="00557725" w:rsidRPr="00557725" w:rsidRDefault="00557725" w:rsidP="00557725">
      <w:pPr>
        <w:numPr>
          <w:ilvl w:val="0"/>
          <w:numId w:val="1"/>
        </w:numPr>
      </w:pPr>
      <w:r w:rsidRPr="00557725">
        <w:t>Protection extends beyond the individually named plaintiffs in important circumstances, including qualifying organizational members, commercial members, and customers involved in covered transactions.</w:t>
      </w:r>
    </w:p>
    <w:p w14:paraId="0D586684" w14:textId="77777777" w:rsidR="00557725" w:rsidRPr="00557725" w:rsidRDefault="00557725" w:rsidP="00557725">
      <w:pPr>
        <w:numPr>
          <w:ilvl w:val="0"/>
          <w:numId w:val="1"/>
        </w:numPr>
      </w:pPr>
      <w:r w:rsidRPr="00557725">
        <w:t>The Gun Control Act remains in effect.</w:t>
      </w:r>
    </w:p>
    <w:p w14:paraId="13617BF2" w14:textId="77777777" w:rsidR="00557725" w:rsidRPr="00557725" w:rsidRDefault="00557725" w:rsidP="00557725">
      <w:pPr>
        <w:numPr>
          <w:ilvl w:val="0"/>
          <w:numId w:val="1"/>
        </w:numPr>
      </w:pPr>
      <w:r w:rsidRPr="00557725">
        <w:t>Federal background check requirements, prohibited person restrictions, FFL recordkeeping requirements, and other independently applicable federal firearms laws remain in effect.</w:t>
      </w:r>
    </w:p>
    <w:p w14:paraId="1DDCA9EA" w14:textId="77777777" w:rsidR="00557725" w:rsidRPr="00557725" w:rsidRDefault="00557725" w:rsidP="00557725">
      <w:pPr>
        <w:numPr>
          <w:ilvl w:val="0"/>
          <w:numId w:val="1"/>
        </w:numPr>
      </w:pPr>
      <w:r w:rsidRPr="00557725">
        <w:t>State and local law remain independently enforceable.</w:t>
      </w:r>
    </w:p>
    <w:p w14:paraId="356F35EC" w14:textId="77777777" w:rsidR="00557725" w:rsidRPr="00557725" w:rsidRDefault="00557725" w:rsidP="00557725">
      <w:pPr>
        <w:numPr>
          <w:ilvl w:val="0"/>
          <w:numId w:val="1"/>
        </w:numPr>
      </w:pPr>
      <w:r w:rsidRPr="00557725">
        <w:t>ATF has not yet issued comprehensive public implementation guidance answering many of the practical questions now confronting FFLs.</w:t>
      </w:r>
    </w:p>
    <w:p w14:paraId="06747641" w14:textId="77777777" w:rsidR="00557725" w:rsidRPr="00557725" w:rsidRDefault="00557725" w:rsidP="00557725">
      <w:r w:rsidRPr="00557725">
        <w:t xml:space="preserve">The result is significant relief, but also a legal environment in which FFLs need to understand exactly </w:t>
      </w:r>
      <w:r w:rsidRPr="00557725">
        <w:rPr>
          <w:b/>
          <w:bCs/>
        </w:rPr>
        <w:t>who is protected, which transaction is protected, and which laws remain applicable.</w:t>
      </w:r>
    </w:p>
    <w:p w14:paraId="3CE95515" w14:textId="77777777" w:rsidR="00557725" w:rsidRPr="00557725" w:rsidRDefault="00557725" w:rsidP="00557725">
      <w:pPr>
        <w:rPr>
          <w:b/>
          <w:bCs/>
        </w:rPr>
      </w:pPr>
      <w:r w:rsidRPr="00557725">
        <w:rPr>
          <w:b/>
          <w:bCs/>
        </w:rPr>
        <w:t>WHAT DID THE COURT ACTUALLY RULE?</w:t>
      </w:r>
    </w:p>
    <w:p w14:paraId="5E71ECAE" w14:textId="77777777" w:rsidR="00557725" w:rsidRPr="00557725" w:rsidRDefault="00557725" w:rsidP="00557725">
      <w:r w:rsidRPr="00557725">
        <w:t>The case arose after Congress reduced the federal making and transfer taxes to zero for several categories of firearms historically regulated under the NFA.</w:t>
      </w:r>
    </w:p>
    <w:p w14:paraId="5391B82F" w14:textId="77777777" w:rsidR="00557725" w:rsidRPr="00557725" w:rsidRDefault="00557725" w:rsidP="00557725">
      <w:r w:rsidRPr="00557725">
        <w:t>The plaintiffs challenged the continued registration and regulatory structure, arguing that once the underlying taxes disappeared, the federal government could no longer justify those provisions through Congress's constitutional taxing authority.</w:t>
      </w:r>
    </w:p>
    <w:p w14:paraId="1853CF46" w14:textId="77777777" w:rsidR="00557725" w:rsidRPr="00557725" w:rsidRDefault="00557725" w:rsidP="00557725">
      <w:r w:rsidRPr="00557725">
        <w:t>Judge James Wesley Hendrix agreed.</w:t>
      </w:r>
    </w:p>
    <w:p w14:paraId="62436EFE" w14:textId="77777777" w:rsidR="00557725" w:rsidRPr="00557725" w:rsidRDefault="00557725" w:rsidP="00557725">
      <w:r w:rsidRPr="00557725">
        <w:t>The court concluded that the challenged NFA provisions exceed Congress's Article I enumerated powers as applied to the affected untaxed firearms.</w:t>
      </w:r>
    </w:p>
    <w:p w14:paraId="5005F9D0" w14:textId="77777777" w:rsidR="00557725" w:rsidRPr="00557725" w:rsidRDefault="00557725" w:rsidP="00557725">
      <w:r w:rsidRPr="00557725">
        <w:t xml:space="preserve">Importantly, the court resolved the case under </w:t>
      </w:r>
      <w:r w:rsidRPr="00557725">
        <w:rPr>
          <w:b/>
          <w:bCs/>
        </w:rPr>
        <w:t>Article I</w:t>
      </w:r>
      <w:r w:rsidRPr="00557725">
        <w:t>, not the Second Amendment. The plaintiffs' Second Amendment claims were therefore dismissed without prejudice as abandoned because the court did not need to reach them.</w:t>
      </w:r>
    </w:p>
    <w:p w14:paraId="104D7DDA" w14:textId="77777777" w:rsidR="00557725" w:rsidRPr="00557725" w:rsidRDefault="00557725" w:rsidP="00557725">
      <w:r w:rsidRPr="00557725">
        <w:t>The court's injunction reaches provisions governing, among other things:</w:t>
      </w:r>
    </w:p>
    <w:p w14:paraId="07E1CD25" w14:textId="77777777" w:rsidR="00557725" w:rsidRPr="00557725" w:rsidRDefault="00557725" w:rsidP="00557725">
      <w:r w:rsidRPr="00557725">
        <w:t>26 U.S.C. § 5812, concerning transfers;</w:t>
      </w:r>
    </w:p>
    <w:p w14:paraId="7C87B9B6" w14:textId="77777777" w:rsidR="00557725" w:rsidRPr="00557725" w:rsidRDefault="00557725" w:rsidP="00557725">
      <w:r w:rsidRPr="00557725">
        <w:t>26 U.S.C. § 5822, concerning making;</w:t>
      </w:r>
    </w:p>
    <w:p w14:paraId="7DEC80F0" w14:textId="77777777" w:rsidR="00557725" w:rsidRPr="00557725" w:rsidRDefault="00557725" w:rsidP="00557725">
      <w:r w:rsidRPr="00557725">
        <w:t>26 U.S.C. § 5841, concerning NFA registration;</w:t>
      </w:r>
    </w:p>
    <w:p w14:paraId="751B60E9" w14:textId="77777777" w:rsidR="00557725" w:rsidRPr="00557725" w:rsidRDefault="00557725" w:rsidP="00557725">
      <w:r w:rsidRPr="00557725">
        <w:lastRenderedPageBreak/>
        <w:t>certain marking provisions;</w:t>
      </w:r>
    </w:p>
    <w:p w14:paraId="3661AFE0" w14:textId="77777777" w:rsidR="00557725" w:rsidRPr="00557725" w:rsidRDefault="00557725" w:rsidP="00557725">
      <w:r w:rsidRPr="00557725">
        <w:t>specified prohibited acts under 26 U.S.C. § 5861; and</w:t>
      </w:r>
    </w:p>
    <w:p w14:paraId="5CA4E722" w14:textId="77777777" w:rsidR="00557725" w:rsidRPr="00557725" w:rsidRDefault="00557725" w:rsidP="00557725">
      <w:r w:rsidRPr="00557725">
        <w:t>related implementing regulations governing applications to make and transfer NFA firearms.</w:t>
      </w:r>
    </w:p>
    <w:p w14:paraId="3D43FD7C" w14:textId="77777777" w:rsidR="00557725" w:rsidRPr="00557725" w:rsidRDefault="00557725" w:rsidP="00557725">
      <w:r w:rsidRPr="00557725">
        <w:t xml:space="preserve">The precise relief varies somewhat between the </w:t>
      </w:r>
      <w:r w:rsidRPr="00557725">
        <w:rPr>
          <w:i/>
          <w:iCs/>
        </w:rPr>
        <w:t>Silencer Shop</w:t>
      </w:r>
      <w:r w:rsidRPr="00557725">
        <w:t xml:space="preserve"> and </w:t>
      </w:r>
      <w:r w:rsidRPr="00557725">
        <w:rPr>
          <w:i/>
          <w:iCs/>
        </w:rPr>
        <w:t>Jensen</w:t>
      </w:r>
      <w:r w:rsidRPr="00557725">
        <w:t xml:space="preserve"> plaintiffs, particularly with respect to certain marking provisions and Any Other Weapons.</w:t>
      </w:r>
    </w:p>
    <w:p w14:paraId="74605ABB" w14:textId="77777777" w:rsidR="00557725" w:rsidRPr="00557725" w:rsidRDefault="00557725" w:rsidP="00557725">
      <w:r w:rsidRPr="00557725">
        <w:t>Machineguns and destructive devices are not part of the same tax elimination and injunction framework addressed by this decision. The plaintiffs themselves did not challenge the continuing application of the making and transfer taxes to those categories.</w:t>
      </w:r>
    </w:p>
    <w:p w14:paraId="2F85AC39" w14:textId="77777777" w:rsidR="00557725" w:rsidRPr="00557725" w:rsidRDefault="00557725" w:rsidP="00557725">
      <w:pPr>
        <w:rPr>
          <w:b/>
          <w:bCs/>
        </w:rPr>
      </w:pPr>
      <w:r w:rsidRPr="00557725">
        <w:rPr>
          <w:b/>
          <w:bCs/>
        </w:rPr>
        <w:t xml:space="preserve">THE </w:t>
      </w:r>
      <w:proofErr w:type="gramStart"/>
      <w:r w:rsidRPr="00557725">
        <w:rPr>
          <w:b/>
          <w:bCs/>
        </w:rPr>
        <w:t>SEVEN DAY</w:t>
      </w:r>
      <w:proofErr w:type="gramEnd"/>
      <w:r w:rsidRPr="00557725">
        <w:rPr>
          <w:b/>
          <w:bCs/>
        </w:rPr>
        <w:t xml:space="preserve"> STAY IS OVER</w:t>
      </w:r>
    </w:p>
    <w:p w14:paraId="362CDCF3" w14:textId="77777777" w:rsidR="00557725" w:rsidRPr="00557725" w:rsidRDefault="00557725" w:rsidP="00557725">
      <w:r w:rsidRPr="00557725">
        <w:t>This is the most important procedural development since the August 5 decision.</w:t>
      </w:r>
    </w:p>
    <w:p w14:paraId="722532BC" w14:textId="77777777" w:rsidR="00557725" w:rsidRPr="00557725" w:rsidRDefault="00557725" w:rsidP="00557725">
      <w:r w:rsidRPr="00557725">
        <w:t>The court temporarily stayed its judgment for seven days to allow the federal government to seek appellate relief.</w:t>
      </w:r>
    </w:p>
    <w:p w14:paraId="18185C0C" w14:textId="77777777" w:rsidR="00557725" w:rsidRPr="00557725" w:rsidRDefault="00557725" w:rsidP="00557725">
      <w:r w:rsidRPr="00557725">
        <w:t>That period expired on August 13.</w:t>
      </w:r>
    </w:p>
    <w:p w14:paraId="798FF4AC" w14:textId="77777777" w:rsidR="00557725" w:rsidRPr="00557725" w:rsidRDefault="00557725" w:rsidP="00557725">
      <w:r w:rsidRPr="00557725">
        <w:t>The government did not obtain an appellate stay before the deadline, so the injunction became operative. The Second Amendment Foundation and American Suppressor Association both subsequently reported that the injunction had taken effect.</w:t>
      </w:r>
    </w:p>
    <w:p w14:paraId="22AA7328" w14:textId="77777777" w:rsidR="00557725" w:rsidRPr="00557725" w:rsidRDefault="00557725" w:rsidP="00557725">
      <w:r w:rsidRPr="00557725">
        <w:t xml:space="preserve">That does </w:t>
      </w:r>
      <w:r w:rsidRPr="00557725">
        <w:rPr>
          <w:b/>
          <w:bCs/>
        </w:rPr>
        <w:t>not</w:t>
      </w:r>
      <w:r w:rsidRPr="00557725">
        <w:t xml:space="preserve"> necessarily mean the litigation is finished.</w:t>
      </w:r>
    </w:p>
    <w:p w14:paraId="00108500" w14:textId="77777777" w:rsidR="00557725" w:rsidRPr="00557725" w:rsidRDefault="00557725" w:rsidP="00557725">
      <w:r w:rsidRPr="00557725">
        <w:t>Because the United States and federal agencies are parties, the ordinary federal appellate rules provide a substantially longer period in which a notice of appeal may be filed. The government's failure to obtain a stay therefore means the judgment is presently effective. It does not necessarily eliminate the possibility of a later appeal.</w:t>
      </w:r>
    </w:p>
    <w:p w14:paraId="14CAFEB6" w14:textId="77777777" w:rsidR="00557725" w:rsidRPr="00557725" w:rsidRDefault="00557725" w:rsidP="00557725">
      <w:r w:rsidRPr="00557725">
        <w:t>That distinction matters.</w:t>
      </w:r>
    </w:p>
    <w:p w14:paraId="4A9A37F4" w14:textId="77777777" w:rsidR="00557725" w:rsidRPr="00557725" w:rsidRDefault="00557725" w:rsidP="00557725">
      <w:r w:rsidRPr="00557725">
        <w:t>The current legal status is:</w:t>
      </w:r>
    </w:p>
    <w:p w14:paraId="196156BD" w14:textId="77777777" w:rsidR="00557725" w:rsidRPr="00557725" w:rsidRDefault="00557725" w:rsidP="00557725">
      <w:r w:rsidRPr="00557725">
        <w:rPr>
          <w:b/>
          <w:bCs/>
        </w:rPr>
        <w:t>The injunction is operative unless and until a court changes that status.</w:t>
      </w:r>
    </w:p>
    <w:p w14:paraId="464962C8" w14:textId="77777777" w:rsidR="00557725" w:rsidRPr="00557725" w:rsidRDefault="00557725" w:rsidP="00557725">
      <w:pPr>
        <w:rPr>
          <w:b/>
          <w:bCs/>
        </w:rPr>
      </w:pPr>
      <w:r w:rsidRPr="00557725">
        <w:rPr>
          <w:b/>
          <w:bCs/>
        </w:rPr>
        <w:t>DOES THE RULING APPLY TO EVERY FFL?</w:t>
      </w:r>
    </w:p>
    <w:p w14:paraId="085F6F7F" w14:textId="77777777" w:rsidR="00557725" w:rsidRPr="00557725" w:rsidRDefault="00557725" w:rsidP="00557725">
      <w:r w:rsidRPr="00557725">
        <w:t>No.</w:t>
      </w:r>
    </w:p>
    <w:p w14:paraId="504510A3" w14:textId="77777777" w:rsidR="00557725" w:rsidRPr="00557725" w:rsidRDefault="00557725" w:rsidP="00557725">
      <w:r w:rsidRPr="00557725">
        <w:t>This is probably the single most important point for dealers to understand.</w:t>
      </w:r>
    </w:p>
    <w:p w14:paraId="049C0B38" w14:textId="77777777" w:rsidR="00557725" w:rsidRPr="00557725" w:rsidRDefault="00557725" w:rsidP="00557725">
      <w:r w:rsidRPr="00557725">
        <w:t>The district court specifically declined to issue a universal injunction.</w:t>
      </w:r>
    </w:p>
    <w:p w14:paraId="71671A30" w14:textId="77777777" w:rsidR="00557725" w:rsidRPr="00557725" w:rsidRDefault="00557725" w:rsidP="00557725">
      <w:r w:rsidRPr="00557725">
        <w:lastRenderedPageBreak/>
        <w:t>Instead, the court tailored its relief to the plaintiffs and individuals or entities sufficiently connected to those plaintiffs.</w:t>
      </w:r>
    </w:p>
    <w:p w14:paraId="1B64A225" w14:textId="77777777" w:rsidR="00557725" w:rsidRPr="00557725" w:rsidRDefault="00557725" w:rsidP="00557725">
      <w:r w:rsidRPr="00557725">
        <w:t>The court explained that federal courts may not use an injunction to provide relief indiscriminately to parties who were not before the court.</w:t>
      </w:r>
    </w:p>
    <w:p w14:paraId="7EAD1EE8" w14:textId="77777777" w:rsidR="00557725" w:rsidRPr="00557725" w:rsidRDefault="00557725" w:rsidP="00557725">
      <w:r w:rsidRPr="00557725">
        <w:t>But that does not mean the ruling is limited only to the handful of names appearing on the case caption.</w:t>
      </w:r>
    </w:p>
    <w:p w14:paraId="5287B6B2" w14:textId="77777777" w:rsidR="00557725" w:rsidRPr="00557725" w:rsidRDefault="00557725" w:rsidP="00557725">
      <w:r w:rsidRPr="00557725">
        <w:t>The injunction reaches a substantially larger group.</w:t>
      </w:r>
    </w:p>
    <w:p w14:paraId="3B78B3CA" w14:textId="77777777" w:rsidR="00557725" w:rsidRPr="00557725" w:rsidRDefault="00557725" w:rsidP="00557725">
      <w:r w:rsidRPr="00557725">
        <w:t>The litigation includes individual plaintiffs, commercial firearms businesses, firearms organizations, and fifteen plaintiff states.</w:t>
      </w:r>
    </w:p>
    <w:p w14:paraId="20962028" w14:textId="77777777" w:rsidR="00557725" w:rsidRPr="00557725" w:rsidRDefault="00557725" w:rsidP="00557725">
      <w:r w:rsidRPr="00557725">
        <w:t>Among the organizational plaintiffs are Gun Owners of America, Gun Owners Foundation, Firearms Regulatory Accountability Coalition, Texas State Rifle Association, FPC Action Foundation, and Citizens Committee for the Right to Keep and Bear Arms.</w:t>
      </w:r>
    </w:p>
    <w:p w14:paraId="3A5C54DB" w14:textId="77777777" w:rsidR="00557725" w:rsidRPr="00557725" w:rsidRDefault="00557725" w:rsidP="00557725">
      <w:r w:rsidRPr="00557725">
        <w:t xml:space="preserve">Commercial plaintiffs include B&amp;T USA, Palmetto State Armory, </w:t>
      </w:r>
      <w:proofErr w:type="spellStart"/>
      <w:r w:rsidRPr="00557725">
        <w:t>SilencerCo</w:t>
      </w:r>
      <w:proofErr w:type="spellEnd"/>
      <w:r w:rsidRPr="00557725">
        <w:t xml:space="preserve"> Weapons Research, and Hot Shots Custom LLC.</w:t>
      </w:r>
    </w:p>
    <w:p w14:paraId="0330237D" w14:textId="77777777" w:rsidR="00557725" w:rsidRPr="00557725" w:rsidRDefault="00557725" w:rsidP="00557725">
      <w:r w:rsidRPr="00557725">
        <w:t>The court's judgment protects the plaintiffs and, where applicable, their current and future members and customers.</w:t>
      </w:r>
    </w:p>
    <w:p w14:paraId="68CE224A" w14:textId="77777777" w:rsidR="00557725" w:rsidRPr="00557725" w:rsidRDefault="00557725" w:rsidP="00557725">
      <w:r w:rsidRPr="00557725">
        <w:t>For commercial organizational members, that protection may also extend downstream to their customers in qualifying transactions.</w:t>
      </w:r>
    </w:p>
    <w:p w14:paraId="47064D59" w14:textId="77777777" w:rsidR="00557725" w:rsidRPr="00557725" w:rsidRDefault="00557725" w:rsidP="00557725">
      <w:pPr>
        <w:rPr>
          <w:b/>
          <w:bCs/>
        </w:rPr>
      </w:pPr>
      <w:r w:rsidRPr="00557725">
        <w:rPr>
          <w:b/>
          <w:bCs/>
        </w:rPr>
        <w:t>THE CUSTOMER PROTECTION IS TRANSACTION SPECIFIC</w:t>
      </w:r>
    </w:p>
    <w:p w14:paraId="57D21F5B" w14:textId="77777777" w:rsidR="00557725" w:rsidRPr="00557725" w:rsidRDefault="00557725" w:rsidP="00557725">
      <w:r w:rsidRPr="00557725">
        <w:t>This is where much of the online discussion has become overly broad.</w:t>
      </w:r>
    </w:p>
    <w:p w14:paraId="3309BF99" w14:textId="77777777" w:rsidR="00557725" w:rsidRPr="00557725" w:rsidRDefault="00557725" w:rsidP="00557725">
      <w:r w:rsidRPr="00557725">
        <w:t>The court expressly addressed customers of commercial plaintiffs and customers of commercial members of organizational plaintiffs.</w:t>
      </w:r>
    </w:p>
    <w:p w14:paraId="18082CBF" w14:textId="77777777" w:rsidR="00557725" w:rsidRPr="00557725" w:rsidRDefault="00557725" w:rsidP="00557725">
      <w:r w:rsidRPr="00557725">
        <w:t>It concluded that protecting those customers was necessary because continued enforcement against them would continue injuring the protected commercial business.</w:t>
      </w:r>
    </w:p>
    <w:p w14:paraId="0CA95EE7" w14:textId="77777777" w:rsidR="00557725" w:rsidRPr="00557725" w:rsidRDefault="00557725" w:rsidP="00557725">
      <w:r w:rsidRPr="00557725">
        <w:t>But the court also placed an important limitation on that relief.</w:t>
      </w:r>
    </w:p>
    <w:p w14:paraId="58AA6A48" w14:textId="77777777" w:rsidR="00557725" w:rsidRPr="00557725" w:rsidRDefault="00557725" w:rsidP="00557725">
      <w:r w:rsidRPr="00557725">
        <w:t>Customer status does not provide an individual with a permanent exemption from the challenged NFA provisions for everything that person owns or does.</w:t>
      </w:r>
    </w:p>
    <w:p w14:paraId="1CBC25FF" w14:textId="77777777" w:rsidR="00557725" w:rsidRPr="00557725" w:rsidRDefault="00557725" w:rsidP="00557725">
      <w:r w:rsidRPr="00557725">
        <w:t xml:space="preserve">Instead, the court explained that customer protection applies in connection with the customer's </w:t>
      </w:r>
      <w:r w:rsidRPr="00557725">
        <w:rPr>
          <w:b/>
          <w:bCs/>
        </w:rPr>
        <w:t>transaction with the protected commercial plaintiff or commercial member.</w:t>
      </w:r>
    </w:p>
    <w:p w14:paraId="790A794E" w14:textId="77777777" w:rsidR="00557725" w:rsidRPr="00557725" w:rsidRDefault="00557725" w:rsidP="00557725">
      <w:r w:rsidRPr="00557725">
        <w:t>That distinction is critical.</w:t>
      </w:r>
    </w:p>
    <w:p w14:paraId="21DCA517" w14:textId="77777777" w:rsidR="00557725" w:rsidRPr="00557725" w:rsidRDefault="00557725" w:rsidP="00557725">
      <w:r w:rsidRPr="00557725">
        <w:lastRenderedPageBreak/>
        <w:t>Being a customer in one protected transaction does not automatically create a personal nationwide exemption for unrelated NFA firearms or future transactions with unrelated businesses.</w:t>
      </w:r>
    </w:p>
    <w:p w14:paraId="28B631A8" w14:textId="77777777" w:rsidR="00557725" w:rsidRPr="00557725" w:rsidRDefault="00557725" w:rsidP="00557725">
      <w:pPr>
        <w:rPr>
          <w:b/>
          <w:bCs/>
        </w:rPr>
      </w:pPr>
      <w:r w:rsidRPr="00557725">
        <w:rPr>
          <w:b/>
          <w:bCs/>
        </w:rPr>
        <w:t>WHAT THIS MEANS FOR FFLs</w:t>
      </w:r>
    </w:p>
    <w:p w14:paraId="709BCCC0" w14:textId="77777777" w:rsidR="00557725" w:rsidRPr="00557725" w:rsidRDefault="00557725" w:rsidP="00557725">
      <w:r w:rsidRPr="00557725">
        <w:t>The practical significance for FFLs is substantial because the dealer standing behind the counter may not itself be a named plaintiff.</w:t>
      </w:r>
    </w:p>
    <w:p w14:paraId="240ACFF9" w14:textId="77777777" w:rsidR="00557725" w:rsidRPr="00557725" w:rsidRDefault="00557725" w:rsidP="00557725">
      <w:r w:rsidRPr="00557725">
        <w:t>A dealer could nevertheless fall within the practical scope of the injunction through organizational membership, commercial membership, its relationship to another protected commercial entity, or a qualifying transaction involving a protected customer.</w:t>
      </w:r>
    </w:p>
    <w:p w14:paraId="4DD93E6D" w14:textId="77777777" w:rsidR="00557725" w:rsidRPr="00557725" w:rsidRDefault="00557725" w:rsidP="00557725">
      <w:r w:rsidRPr="00557725">
        <w:t>Industry organizations are already developing membership structures intended to position participating dealers within the scope of the injunction.</w:t>
      </w:r>
    </w:p>
    <w:p w14:paraId="223CB391" w14:textId="77777777" w:rsidR="00557725" w:rsidRPr="00557725" w:rsidRDefault="00557725" w:rsidP="00557725">
      <w:r w:rsidRPr="00557725">
        <w:t xml:space="preserve">For example, the American Suppressor Association has announced a dealer membership arrangement involving the Texas State Rifle Association, which is an organizational plaintiff in </w:t>
      </w:r>
      <w:r w:rsidRPr="00557725">
        <w:rPr>
          <w:i/>
          <w:iCs/>
        </w:rPr>
        <w:t>Jensen</w:t>
      </w:r>
      <w:r w:rsidRPr="00557725">
        <w:t>. ASA's published guidance states that qualifying commercial members and their customers may fall within the injunction for covered transactions.</w:t>
      </w:r>
    </w:p>
    <w:p w14:paraId="0DC17E99" w14:textId="77777777" w:rsidR="00557725" w:rsidRPr="00557725" w:rsidRDefault="00557725" w:rsidP="00557725">
      <w:r w:rsidRPr="00557725">
        <w:t>That is significant.</w:t>
      </w:r>
    </w:p>
    <w:p w14:paraId="53225A8B" w14:textId="77777777" w:rsidR="00557725" w:rsidRPr="00557725" w:rsidRDefault="00557725" w:rsidP="00557725">
      <w:r w:rsidRPr="00557725">
        <w:t>It should not, however, be confused with formal ATF implementation guidance.</w:t>
      </w:r>
    </w:p>
    <w:p w14:paraId="67F871B7" w14:textId="77777777" w:rsidR="00557725" w:rsidRPr="00557725" w:rsidRDefault="00557725" w:rsidP="00557725">
      <w:r w:rsidRPr="00557725">
        <w:t>ATF has not yet issued comprehensive public instructions resolving how every possible transaction, membership relationship, distribution chain, or customer relationship should be documented and processed.</w:t>
      </w:r>
    </w:p>
    <w:p w14:paraId="412F76E9" w14:textId="77777777" w:rsidR="00557725" w:rsidRPr="00557725" w:rsidRDefault="00557725" w:rsidP="00557725">
      <w:pPr>
        <w:rPr>
          <w:b/>
          <w:bCs/>
        </w:rPr>
      </w:pPr>
      <w:r w:rsidRPr="00557725">
        <w:rPr>
          <w:b/>
          <w:bCs/>
        </w:rPr>
        <w:t>SUPPRESSORS ARE CURRENTLY THE CLEAREST APPLICATION</w:t>
      </w:r>
    </w:p>
    <w:p w14:paraId="54F1A508" w14:textId="77777777" w:rsidR="00557725" w:rsidRPr="00557725" w:rsidRDefault="00557725" w:rsidP="00557725">
      <w:r w:rsidRPr="00557725">
        <w:t>Suppressor transactions appear to present the clearest immediate application of the injunction.</w:t>
      </w:r>
    </w:p>
    <w:p w14:paraId="5554FC52" w14:textId="77777777" w:rsidR="00557725" w:rsidRPr="00557725" w:rsidRDefault="00557725" w:rsidP="00557725">
      <w:r w:rsidRPr="00557725">
        <w:t>For a transaction properly within the injunction, the challenged NFA transfer application and registration provisions cannot be enforced against the protected parties.</w:t>
      </w:r>
    </w:p>
    <w:p w14:paraId="3860BC84" w14:textId="77777777" w:rsidR="00557725" w:rsidRPr="00557725" w:rsidRDefault="00557725" w:rsidP="00557725">
      <w:r w:rsidRPr="00557725">
        <w:t>Industry guidance has consequently reported qualifying suppressor transactions being completed without the traditional Form 4 approval process.</w:t>
      </w:r>
    </w:p>
    <w:p w14:paraId="722CEEEA" w14:textId="77777777" w:rsidR="00557725" w:rsidRPr="00557725" w:rsidRDefault="00557725" w:rsidP="00557725">
      <w:r w:rsidRPr="00557725">
        <w:t>However, a suppressor remains a firearm under the federal Gun Control Act.</w:t>
      </w:r>
    </w:p>
    <w:p w14:paraId="40D6747A" w14:textId="77777777" w:rsidR="00557725" w:rsidRPr="00557725" w:rsidRDefault="00557725" w:rsidP="00557725">
      <w:r w:rsidRPr="00557725">
        <w:t>The ruling did not eliminate the Gun Control Act.</w:t>
      </w:r>
    </w:p>
    <w:p w14:paraId="7E3F54B1" w14:textId="77777777" w:rsidR="00557725" w:rsidRPr="00557725" w:rsidRDefault="00557725" w:rsidP="00557725">
      <w:r w:rsidRPr="00557725">
        <w:t>Accordingly, independently applicable federal requirements involving licensed dealers, background checks, prohibited persons, acquisition and disposition records, and other GCA obligations remain intact.</w:t>
      </w:r>
    </w:p>
    <w:p w14:paraId="5EA10B7A" w14:textId="77777777" w:rsidR="00557725" w:rsidRPr="00557725" w:rsidRDefault="00557725" w:rsidP="00557725">
      <w:r w:rsidRPr="00557725">
        <w:lastRenderedPageBreak/>
        <w:t>In other words:</w:t>
      </w:r>
    </w:p>
    <w:p w14:paraId="634226DA" w14:textId="77777777" w:rsidR="00557725" w:rsidRPr="00557725" w:rsidRDefault="00557725" w:rsidP="00557725">
      <w:r w:rsidRPr="00557725">
        <w:rPr>
          <w:b/>
          <w:bCs/>
        </w:rPr>
        <w:t>An injunction against specific NFA requirements is not the same thing as deregulation of the firearm under every other federal law.</w:t>
      </w:r>
    </w:p>
    <w:p w14:paraId="7BD969BC" w14:textId="77777777" w:rsidR="00557725" w:rsidRPr="00557725" w:rsidRDefault="00557725" w:rsidP="00557725">
      <w:pPr>
        <w:rPr>
          <w:b/>
          <w:bCs/>
        </w:rPr>
      </w:pPr>
      <w:r w:rsidRPr="00557725">
        <w:rPr>
          <w:b/>
          <w:bCs/>
        </w:rPr>
        <w:t>SBRs AND SBSs PRESENT ADDITIONAL QUESTIONS</w:t>
      </w:r>
    </w:p>
    <w:p w14:paraId="5EBA4AC1" w14:textId="77777777" w:rsidR="00557725" w:rsidRPr="00557725" w:rsidRDefault="00557725" w:rsidP="00557725">
      <w:r w:rsidRPr="00557725">
        <w:t>Short barreled rifles and short barreled shotguns require additional caution.</w:t>
      </w:r>
    </w:p>
    <w:p w14:paraId="2BD2B8E3" w14:textId="77777777" w:rsidR="00557725" w:rsidRPr="00557725" w:rsidRDefault="00557725" w:rsidP="00557725">
      <w:r w:rsidRPr="00557725">
        <w:t xml:space="preserve">Separate from the NFA, 18 U.S.C. § 922(b)(4) generally restricts an FFL from selling or delivering a </w:t>
      </w:r>
      <w:proofErr w:type="gramStart"/>
      <w:r w:rsidRPr="00557725">
        <w:t>short barreled</w:t>
      </w:r>
      <w:proofErr w:type="gramEnd"/>
      <w:r w:rsidRPr="00557725">
        <w:t xml:space="preserve"> rifle or short barreled shotgun except as specifically authorized by the Attorney General.</w:t>
      </w:r>
    </w:p>
    <w:p w14:paraId="4E0BB016" w14:textId="77777777" w:rsidR="00557725" w:rsidRPr="00557725" w:rsidRDefault="00557725" w:rsidP="00557725">
      <w:r w:rsidRPr="00557725">
        <w:t>Historically, the approved NFA process supplied the federal authorization necessary for those transactions.</w:t>
      </w:r>
    </w:p>
    <w:p w14:paraId="316F0ABE" w14:textId="77777777" w:rsidR="00557725" w:rsidRPr="00557725" w:rsidRDefault="00557725" w:rsidP="00557725">
      <w:r w:rsidRPr="00557725">
        <w:t>If the NFA approval requirement itself cannot be enforced against a protected party, the obvious next question becomes:</w:t>
      </w:r>
    </w:p>
    <w:p w14:paraId="0BFBF132" w14:textId="77777777" w:rsidR="00557725" w:rsidRPr="00557725" w:rsidRDefault="00557725" w:rsidP="00557725">
      <w:r w:rsidRPr="00557725">
        <w:rPr>
          <w:b/>
          <w:bCs/>
        </w:rPr>
        <w:t>What now constitutes the Attorney General authorization required by the Gun Control Act?</w:t>
      </w:r>
    </w:p>
    <w:p w14:paraId="5B60BA4B" w14:textId="77777777" w:rsidR="00557725" w:rsidRPr="00557725" w:rsidRDefault="00557725" w:rsidP="00557725">
      <w:r w:rsidRPr="00557725">
        <w:t>That issue is not squarely resolved by the August 5 judgment.</w:t>
      </w:r>
    </w:p>
    <w:p w14:paraId="28D7B2C1" w14:textId="77777777" w:rsidR="00557725" w:rsidRPr="00557725" w:rsidRDefault="00557725" w:rsidP="00557725">
      <w:r w:rsidRPr="00557725">
        <w:t>Industry guidance has therefore recognized that suppressors and SBR or SBS transactions should not automatically be treated as legally identical merely because all fall within portions of the NFA litigation.</w:t>
      </w:r>
    </w:p>
    <w:p w14:paraId="75F151FA" w14:textId="77777777" w:rsidR="00557725" w:rsidRPr="00557725" w:rsidRDefault="00557725" w:rsidP="00557725">
      <w:r w:rsidRPr="00557725">
        <w:t>Until ATF or a court provides greater clarity, FFLs should recognize that the federal statutory framework applicable to SBRs and SBSs presents additional issues beyond those involved in suppressor transfers.</w:t>
      </w:r>
    </w:p>
    <w:p w14:paraId="45E2E90B" w14:textId="77777777" w:rsidR="00557725" w:rsidRPr="00557725" w:rsidRDefault="00557725" w:rsidP="00557725">
      <w:pPr>
        <w:rPr>
          <w:b/>
          <w:bCs/>
        </w:rPr>
      </w:pPr>
      <w:r w:rsidRPr="00557725">
        <w:rPr>
          <w:b/>
          <w:bCs/>
        </w:rPr>
        <w:t>THE SOT DID NOT DISAPPEAR</w:t>
      </w:r>
    </w:p>
    <w:p w14:paraId="2D132357" w14:textId="77777777" w:rsidR="00557725" w:rsidRPr="00557725" w:rsidRDefault="00557725" w:rsidP="00557725">
      <w:r w:rsidRPr="00557725">
        <w:t>Another misconception deserves correction.</w:t>
      </w:r>
    </w:p>
    <w:p w14:paraId="523F7A00" w14:textId="77777777" w:rsidR="00557725" w:rsidRPr="00557725" w:rsidRDefault="00557725" w:rsidP="00557725">
      <w:r w:rsidRPr="00557725">
        <w:t>The court did not invalidate the federal Special Occupational Tax framework applicable to businesses engaged in importing, manufacturing, or dealing in NFA firearms.</w:t>
      </w:r>
    </w:p>
    <w:p w14:paraId="68383115" w14:textId="77777777" w:rsidR="00557725" w:rsidRPr="00557725" w:rsidRDefault="00557725" w:rsidP="00557725">
      <w:r w:rsidRPr="00557725">
        <w:t>The court specifically noted that the plaintiffs were not challenging the special occupational tax applicable to importers, manufacturers, and dealers.</w:t>
      </w:r>
    </w:p>
    <w:p w14:paraId="4EBFDFB9" w14:textId="77777777" w:rsidR="00557725" w:rsidRPr="00557725" w:rsidRDefault="00557725" w:rsidP="00557725">
      <w:r w:rsidRPr="00557725">
        <w:t>Accordingly, the decision should not be interpreted as abolishing SOT obligations for businesses otherwise required to maintain that status.</w:t>
      </w:r>
    </w:p>
    <w:p w14:paraId="31F6A808" w14:textId="77777777" w:rsidR="00557725" w:rsidRPr="00557725" w:rsidRDefault="00557725" w:rsidP="00557725">
      <w:pPr>
        <w:rPr>
          <w:b/>
          <w:bCs/>
        </w:rPr>
      </w:pPr>
      <w:r w:rsidRPr="00557725">
        <w:rPr>
          <w:b/>
          <w:bCs/>
        </w:rPr>
        <w:t>WHAT ABOUT EXISTING INVENTORY?</w:t>
      </w:r>
    </w:p>
    <w:p w14:paraId="5E98FCFE" w14:textId="77777777" w:rsidR="00557725" w:rsidRPr="00557725" w:rsidRDefault="00557725" w:rsidP="00557725">
      <w:r w:rsidRPr="00557725">
        <w:t>This is one of the major unresolved operational questions.</w:t>
      </w:r>
    </w:p>
    <w:p w14:paraId="2E2E7E0E" w14:textId="77777777" w:rsidR="00557725" w:rsidRPr="00557725" w:rsidRDefault="00557725" w:rsidP="00557725">
      <w:r w:rsidRPr="00557725">
        <w:lastRenderedPageBreak/>
        <w:t>FFLs may currently possess suppressors and other affected firearms that are recorded within the National Firearms Registration and Transfer Record.</w:t>
      </w:r>
    </w:p>
    <w:p w14:paraId="48A6BA80" w14:textId="77777777" w:rsidR="00557725" w:rsidRPr="00557725" w:rsidRDefault="00557725" w:rsidP="00557725">
      <w:r w:rsidRPr="00557725">
        <w:t>If one of those firearms is subsequently transferred through a transaction protected by the injunction, significant administrative questions arise.</w:t>
      </w:r>
    </w:p>
    <w:p w14:paraId="3F4D8B0E" w14:textId="77777777" w:rsidR="00557725" w:rsidRPr="00557725" w:rsidRDefault="00557725" w:rsidP="00557725">
      <w:r w:rsidRPr="00557725">
        <w:t>How does the firearm leave the dealer's NFRTR inventory?</w:t>
      </w:r>
    </w:p>
    <w:p w14:paraId="1CDC67AA" w14:textId="77777777" w:rsidR="00557725" w:rsidRPr="00557725" w:rsidRDefault="00557725" w:rsidP="00557725">
      <w:r w:rsidRPr="00557725">
        <w:t>How will ATF reconcile an existing registered inventory item with a subsequent transaction that does not require the traditional NFA transfer approval?</w:t>
      </w:r>
    </w:p>
    <w:p w14:paraId="4E81947D" w14:textId="77777777" w:rsidR="00557725" w:rsidRPr="00557725" w:rsidRDefault="00557725" w:rsidP="00557725">
      <w:r w:rsidRPr="00557725">
        <w:t>What documentation should a dealer retain to establish that the transaction qualified for the injunction?</w:t>
      </w:r>
    </w:p>
    <w:p w14:paraId="5C2A4DEF" w14:textId="77777777" w:rsidR="00557725" w:rsidRPr="00557725" w:rsidRDefault="00557725" w:rsidP="00557725">
      <w:r w:rsidRPr="00557725">
        <w:t>How should a future ATF Industry Operations Investigator evaluate that transaction during an inspection?</w:t>
      </w:r>
    </w:p>
    <w:p w14:paraId="5DFCB173" w14:textId="77777777" w:rsidR="00557725" w:rsidRPr="00557725" w:rsidRDefault="00557725" w:rsidP="00557725">
      <w:r w:rsidRPr="00557725">
        <w:t>The court's constitutional decision does not provide an administrative manual answering those questions.</w:t>
      </w:r>
    </w:p>
    <w:p w14:paraId="42306AA2" w14:textId="77777777" w:rsidR="00557725" w:rsidRPr="00557725" w:rsidRDefault="00557725" w:rsidP="00557725">
      <w:r w:rsidRPr="00557725">
        <w:t>ATF guidance is needed.</w:t>
      </w:r>
    </w:p>
    <w:p w14:paraId="5677AB3B" w14:textId="77777777" w:rsidR="00557725" w:rsidRPr="00557725" w:rsidRDefault="00557725" w:rsidP="00557725">
      <w:pPr>
        <w:rPr>
          <w:b/>
          <w:bCs/>
        </w:rPr>
      </w:pPr>
      <w:r w:rsidRPr="00557725">
        <w:rPr>
          <w:b/>
          <w:bCs/>
        </w:rPr>
        <w:t>WHAT ABOUT PENDING FORM 4s?</w:t>
      </w:r>
    </w:p>
    <w:p w14:paraId="47F0E33B" w14:textId="77777777" w:rsidR="00557725" w:rsidRPr="00557725" w:rsidRDefault="00557725" w:rsidP="00557725">
      <w:r w:rsidRPr="00557725">
        <w:t>Thousands of purchasers may also have applications already pending.</w:t>
      </w:r>
    </w:p>
    <w:p w14:paraId="7F4A1E61" w14:textId="77777777" w:rsidR="00557725" w:rsidRPr="00557725" w:rsidRDefault="00557725" w:rsidP="00557725">
      <w:r w:rsidRPr="00557725">
        <w:t>The injunction does not automatically explain what should happen to every previously submitted Form 4.</w:t>
      </w:r>
    </w:p>
    <w:p w14:paraId="597C682C" w14:textId="77777777" w:rsidR="00557725" w:rsidRPr="00557725" w:rsidRDefault="00557725" w:rsidP="00557725">
      <w:r w:rsidRPr="00557725">
        <w:t>Potential questions include whether an applicant should allow an existing application to continue, whether ATF will permit or require withdrawal in particular circumstances, and how an FFL should document a subsequent transaction if the customer and transaction qualify for the injunction.</w:t>
      </w:r>
    </w:p>
    <w:p w14:paraId="14B5406C" w14:textId="77777777" w:rsidR="00557725" w:rsidRPr="00557725" w:rsidRDefault="00557725" w:rsidP="00557725">
      <w:r w:rsidRPr="00557725">
        <w:t>Industry sources indicate that ATF continues to process traditional NFA applications, meaning the conventional NFA process has not simply disappeared from the system.</w:t>
      </w:r>
    </w:p>
    <w:p w14:paraId="087519F2" w14:textId="77777777" w:rsidR="00557725" w:rsidRPr="00557725" w:rsidRDefault="00557725" w:rsidP="00557725">
      <w:pPr>
        <w:rPr>
          <w:b/>
          <w:bCs/>
        </w:rPr>
      </w:pPr>
      <w:r w:rsidRPr="00557725">
        <w:rPr>
          <w:b/>
          <w:bCs/>
        </w:rPr>
        <w:t>STATE LAW STILL MATTERS</w:t>
      </w:r>
    </w:p>
    <w:p w14:paraId="0F7120EC" w14:textId="77777777" w:rsidR="00557725" w:rsidRPr="00557725" w:rsidRDefault="00557725" w:rsidP="00557725">
      <w:r w:rsidRPr="00557725">
        <w:t>The federal court enjoined federal defendants from enforcing specified federal provisions against protected parties.</w:t>
      </w:r>
    </w:p>
    <w:p w14:paraId="0208C692" w14:textId="77777777" w:rsidR="00557725" w:rsidRPr="00557725" w:rsidRDefault="00557725" w:rsidP="00557725">
      <w:r w:rsidRPr="00557725">
        <w:t xml:space="preserve">It did </w:t>
      </w:r>
      <w:r w:rsidRPr="00557725">
        <w:rPr>
          <w:b/>
          <w:bCs/>
        </w:rPr>
        <w:t>not</w:t>
      </w:r>
      <w:r w:rsidRPr="00557725">
        <w:t xml:space="preserve"> invalidate the firearms laws of all fifty states.</w:t>
      </w:r>
    </w:p>
    <w:p w14:paraId="25B6716F" w14:textId="77777777" w:rsidR="00557725" w:rsidRPr="00557725" w:rsidRDefault="00557725" w:rsidP="00557725">
      <w:r w:rsidRPr="00557725">
        <w:t>Some states independently prohibit suppressors, SBRs, SBSs, or other NFA firearms.</w:t>
      </w:r>
    </w:p>
    <w:p w14:paraId="632A711D" w14:textId="77777777" w:rsidR="00557725" w:rsidRPr="00557725" w:rsidRDefault="00557725" w:rsidP="00557725">
      <w:r w:rsidRPr="00557725">
        <w:lastRenderedPageBreak/>
        <w:t>Others permit them only when possession complies with federal NFA registration or other federal requirements.</w:t>
      </w:r>
    </w:p>
    <w:p w14:paraId="6E424272" w14:textId="77777777" w:rsidR="00557725" w:rsidRPr="00557725" w:rsidRDefault="00557725" w:rsidP="00557725">
      <w:r w:rsidRPr="00557725">
        <w:t>That creates a particularly important problem after this ruling.</w:t>
      </w:r>
    </w:p>
    <w:p w14:paraId="7EFBF23E" w14:textId="77777777" w:rsidR="00557725" w:rsidRPr="00557725" w:rsidRDefault="00557725" w:rsidP="00557725">
      <w:r w:rsidRPr="00557725">
        <w:t>A person could potentially fall within the federal injunction while still confronting an independent state statute that requires federal registration as a condition of lawful possession.</w:t>
      </w:r>
    </w:p>
    <w:p w14:paraId="228924D8" w14:textId="77777777" w:rsidR="00557725" w:rsidRPr="00557725" w:rsidRDefault="00557725" w:rsidP="00557725">
      <w:r w:rsidRPr="00557725">
        <w:t>The federal injunction does not automatically erase that state requirement.</w:t>
      </w:r>
    </w:p>
    <w:p w14:paraId="025730BD" w14:textId="77777777" w:rsidR="00557725" w:rsidRPr="00557725" w:rsidRDefault="00557725" w:rsidP="00557725">
      <w:r w:rsidRPr="00557725">
        <w:t>Accordingly, FFLs must separately analyze applicable state and local law before assuming that a transaction permitted under the federal injunction may lawfully be completed in a particular jurisdiction.</w:t>
      </w:r>
    </w:p>
    <w:p w14:paraId="65F573F6" w14:textId="77777777" w:rsidR="00557725" w:rsidRPr="00557725" w:rsidRDefault="00557725" w:rsidP="00557725">
      <w:pPr>
        <w:rPr>
          <w:b/>
          <w:bCs/>
        </w:rPr>
      </w:pPr>
      <w:r w:rsidRPr="00557725">
        <w:rPr>
          <w:b/>
          <w:bCs/>
        </w:rPr>
        <w:t>THERE IS NO GEOGRAPHIC LIMIT TO THE INJUNCTION</w:t>
      </w:r>
    </w:p>
    <w:p w14:paraId="146E9224" w14:textId="77777777" w:rsidR="00557725" w:rsidRPr="00557725" w:rsidRDefault="00557725" w:rsidP="00557725">
      <w:r w:rsidRPr="00557725">
        <w:t>Although the injunction is not universal, it is also not limited to Texas.</w:t>
      </w:r>
    </w:p>
    <w:p w14:paraId="70E93D86" w14:textId="77777777" w:rsidR="00557725" w:rsidRPr="00557725" w:rsidRDefault="00557725" w:rsidP="00557725">
      <w:r w:rsidRPr="00557725">
        <w:t>Those concepts are different.</w:t>
      </w:r>
    </w:p>
    <w:p w14:paraId="3EEA44B3" w14:textId="77777777" w:rsidR="00557725" w:rsidRPr="00557725" w:rsidRDefault="00557725" w:rsidP="00557725">
      <w:r w:rsidRPr="00557725">
        <w:t>The judgment protects qualifying plaintiffs, members, commercial members, and customers according to the scope established by the court.</w:t>
      </w:r>
    </w:p>
    <w:p w14:paraId="3C5A6D28" w14:textId="77777777" w:rsidR="00557725" w:rsidRPr="00557725" w:rsidRDefault="00557725" w:rsidP="00557725">
      <w:r w:rsidRPr="00557725">
        <w:t>The court did not impose a state boundary limiting that protection to transactions occurring in Texas. The litigation itself includes organizations with members and commercial participants across the United States.</w:t>
      </w:r>
    </w:p>
    <w:p w14:paraId="741A611C" w14:textId="77777777" w:rsidR="00557725" w:rsidRPr="00557725" w:rsidRDefault="00557725" w:rsidP="00557725">
      <w:r w:rsidRPr="00557725">
        <w:t>Accordingly, a qualifying party does not lose the benefit of the federal injunction simply because the transaction occurs outside Texas.</w:t>
      </w:r>
    </w:p>
    <w:p w14:paraId="330C5740" w14:textId="77777777" w:rsidR="00557725" w:rsidRPr="00557725" w:rsidRDefault="00557725" w:rsidP="00557725">
      <w:r w:rsidRPr="00557725">
        <w:t>State and local law, of course, remain separate considerations.</w:t>
      </w:r>
    </w:p>
    <w:p w14:paraId="7B7BF143" w14:textId="77777777" w:rsidR="00557725" w:rsidRPr="00557725" w:rsidRDefault="00557725" w:rsidP="00557725">
      <w:pPr>
        <w:rPr>
          <w:b/>
          <w:bCs/>
        </w:rPr>
      </w:pPr>
      <w:r w:rsidRPr="00557725">
        <w:rPr>
          <w:b/>
          <w:bCs/>
        </w:rPr>
        <w:t>ATF GUIDANCE IS NOW CRITICAL</w:t>
      </w:r>
    </w:p>
    <w:p w14:paraId="5CE38E53" w14:textId="77777777" w:rsidR="00557725" w:rsidRPr="00557725" w:rsidRDefault="00557725" w:rsidP="00557725">
      <w:r w:rsidRPr="00557725">
        <w:t>The court answered the constitutional question.</w:t>
      </w:r>
    </w:p>
    <w:p w14:paraId="20D7F114" w14:textId="77777777" w:rsidR="00557725" w:rsidRPr="00557725" w:rsidRDefault="00557725" w:rsidP="00557725">
      <w:r w:rsidRPr="00557725">
        <w:t>It did not answer every operational question created by that answer.</w:t>
      </w:r>
    </w:p>
    <w:p w14:paraId="17484776" w14:textId="77777777" w:rsidR="00557725" w:rsidRPr="00557725" w:rsidRDefault="00557725" w:rsidP="00557725">
      <w:r w:rsidRPr="00557725">
        <w:t>FFLs still need authoritative guidance concerning issues such as determining protected status, documenting organizational membership, handling dealer to dealer transfers, reconciling NFRTR inventory, pending applications, trusts and business entities, warranty returns, ATF inspections, and distinguishing transactions protected by the injunction from those that remain fully subject to the traditional NFA process.</w:t>
      </w:r>
    </w:p>
    <w:p w14:paraId="4AEA4060" w14:textId="77777777" w:rsidR="00557725" w:rsidRPr="00557725" w:rsidRDefault="00557725" w:rsidP="00557725">
      <w:r w:rsidRPr="00557725">
        <w:t xml:space="preserve">The </w:t>
      </w:r>
      <w:r w:rsidRPr="00557725">
        <w:rPr>
          <w:i/>
          <w:iCs/>
        </w:rPr>
        <w:t>Jensen</w:t>
      </w:r>
      <w:r w:rsidRPr="00557725">
        <w:t xml:space="preserve"> plaintiffs themselves recognized this problem.</w:t>
      </w:r>
    </w:p>
    <w:p w14:paraId="17B479CB" w14:textId="77777777" w:rsidR="00557725" w:rsidRPr="00557725" w:rsidRDefault="00557725" w:rsidP="00557725">
      <w:r w:rsidRPr="00557725">
        <w:lastRenderedPageBreak/>
        <w:t>On August 13, counsel wrote directly to DOJ and ATF seeking clarification concerning implementation of the injunction after the stay expired.</w:t>
      </w:r>
    </w:p>
    <w:p w14:paraId="01B12F33" w14:textId="77777777" w:rsidR="00557725" w:rsidRPr="00557725" w:rsidRDefault="00557725" w:rsidP="00557725">
      <w:r w:rsidRPr="00557725">
        <w:t>Until comprehensive federal guidance is issued, FFLs should be particularly careful about relying upon generalized statements appearing on social media.</w:t>
      </w:r>
    </w:p>
    <w:p w14:paraId="056C71D3" w14:textId="77777777" w:rsidR="00557725" w:rsidRPr="00557725" w:rsidRDefault="00557725" w:rsidP="00557725">
      <w:r w:rsidRPr="00557725">
        <w:t>There is an enormous difference between:</w:t>
      </w:r>
    </w:p>
    <w:p w14:paraId="2C576B45" w14:textId="77777777" w:rsidR="00557725" w:rsidRPr="00557725" w:rsidRDefault="00557725" w:rsidP="00557725">
      <w:r w:rsidRPr="00557725">
        <w:rPr>
          <w:b/>
          <w:bCs/>
        </w:rPr>
        <w:t>“The NFA registration provisions were held unconstitutional as applied to the covered parties and transactions.”</w:t>
      </w:r>
    </w:p>
    <w:p w14:paraId="30BB08B4" w14:textId="77777777" w:rsidR="00557725" w:rsidRPr="00557725" w:rsidRDefault="00557725" w:rsidP="00557725">
      <w:r w:rsidRPr="00557725">
        <w:t>and</w:t>
      </w:r>
    </w:p>
    <w:p w14:paraId="1249B966" w14:textId="77777777" w:rsidR="00557725" w:rsidRPr="00557725" w:rsidRDefault="00557725" w:rsidP="00557725">
      <w:r w:rsidRPr="00557725">
        <w:rPr>
          <w:b/>
          <w:bCs/>
        </w:rPr>
        <w:t>“The NFA no longer exists.”</w:t>
      </w:r>
    </w:p>
    <w:p w14:paraId="315A2B46" w14:textId="77777777" w:rsidR="00557725" w:rsidRPr="00557725" w:rsidRDefault="00557725" w:rsidP="00557725">
      <w:r w:rsidRPr="00557725">
        <w:t>Only the first statement accurately reflects the current judgment.</w:t>
      </w:r>
    </w:p>
    <w:p w14:paraId="6B3AFAE0" w14:textId="77777777" w:rsidR="00557725" w:rsidRPr="00557725" w:rsidRDefault="00557725" w:rsidP="00557725">
      <w:pPr>
        <w:rPr>
          <w:b/>
          <w:bCs/>
        </w:rPr>
      </w:pPr>
      <w:r w:rsidRPr="00557725">
        <w:rPr>
          <w:b/>
          <w:bCs/>
        </w:rPr>
        <w:t>WHAT FFLs SHOULD BE WATCHING NEXT</w:t>
      </w:r>
    </w:p>
    <w:p w14:paraId="50B74EC9" w14:textId="77777777" w:rsidR="00557725" w:rsidRPr="00557725" w:rsidRDefault="00557725" w:rsidP="00557725">
      <w:r w:rsidRPr="00557725">
        <w:t>The most important developments now are likely to come from ATF, DOJ, the Fifth Circuit, the district court, and the firearms organizations involved in the litigation.</w:t>
      </w:r>
    </w:p>
    <w:p w14:paraId="23564A5D" w14:textId="77777777" w:rsidR="00557725" w:rsidRPr="00557725" w:rsidRDefault="00557725" w:rsidP="00557725">
      <w:r w:rsidRPr="00557725">
        <w:t>Particular attention should be paid to whether DOJ files an appeal, whether any subsequent stay is sought or entered, whether ATF publishes formal implementation guidance, whether the district court is asked to clarify the injunction, and whether additional litigation expands similar relief to parties not presently protected.</w:t>
      </w:r>
    </w:p>
    <w:p w14:paraId="406FA75B" w14:textId="77777777" w:rsidR="00557725" w:rsidRPr="00557725" w:rsidRDefault="00557725" w:rsidP="00557725">
      <w:r w:rsidRPr="00557725">
        <w:t xml:space="preserve">The federal government's appellate period extends beyond the seven </w:t>
      </w:r>
      <w:proofErr w:type="gramStart"/>
      <w:r w:rsidRPr="00557725">
        <w:t>day</w:t>
      </w:r>
      <w:proofErr w:type="gramEnd"/>
      <w:r w:rsidRPr="00557725">
        <w:t xml:space="preserve"> stay that expired on August 13. Accordingly, the absence of an emergency stay does not eliminate the possibility that the procedural posture could change.</w:t>
      </w:r>
    </w:p>
    <w:p w14:paraId="1674122C" w14:textId="77777777" w:rsidR="00557725" w:rsidRPr="00557725" w:rsidRDefault="00557725" w:rsidP="00557725">
      <w:proofErr w:type="spellStart"/>
      <w:r w:rsidRPr="00557725">
        <w:t>DeadEye</w:t>
      </w:r>
      <w:proofErr w:type="spellEnd"/>
      <w:r w:rsidRPr="00557725">
        <w:t xml:space="preserve"> Syndicate will update this analysis as material developments occur.</w:t>
      </w:r>
    </w:p>
    <w:p w14:paraId="7DE9D9BA" w14:textId="77777777" w:rsidR="00557725" w:rsidRPr="00557725" w:rsidRDefault="00557725" w:rsidP="00557725">
      <w:pPr>
        <w:rPr>
          <w:b/>
          <w:bCs/>
        </w:rPr>
      </w:pPr>
      <w:r w:rsidRPr="00557725">
        <w:rPr>
          <w:b/>
          <w:bCs/>
        </w:rPr>
        <w:t xml:space="preserve">THE </w:t>
      </w:r>
      <w:proofErr w:type="spellStart"/>
      <w:r w:rsidRPr="00557725">
        <w:rPr>
          <w:b/>
          <w:bCs/>
        </w:rPr>
        <w:t>DEADeye</w:t>
      </w:r>
      <w:proofErr w:type="spellEnd"/>
      <w:r w:rsidRPr="00557725">
        <w:rPr>
          <w:b/>
          <w:bCs/>
        </w:rPr>
        <w:t xml:space="preserve"> TAKEAWAY</w:t>
      </w:r>
    </w:p>
    <w:p w14:paraId="0F52BA2C" w14:textId="77777777" w:rsidR="00557725" w:rsidRPr="00557725" w:rsidRDefault="00557725" w:rsidP="00557725">
      <w:r w:rsidRPr="00557725">
        <w:t>The August 2026 decision is unquestionably one of the most consequential federal NFA rulings in decades.</w:t>
      </w:r>
    </w:p>
    <w:p w14:paraId="73BCD85D" w14:textId="77777777" w:rsidR="00557725" w:rsidRPr="00557725" w:rsidRDefault="00557725" w:rsidP="00557725">
      <w:r w:rsidRPr="00557725">
        <w:t>The stay is over.</w:t>
      </w:r>
    </w:p>
    <w:p w14:paraId="2EC55256" w14:textId="77777777" w:rsidR="00557725" w:rsidRPr="00557725" w:rsidRDefault="00557725" w:rsidP="00557725">
      <w:r w:rsidRPr="00557725">
        <w:t>The injunction is active.</w:t>
      </w:r>
    </w:p>
    <w:p w14:paraId="62F46C1B" w14:textId="77777777" w:rsidR="00557725" w:rsidRPr="00557725" w:rsidRDefault="00557725" w:rsidP="00557725">
      <w:r w:rsidRPr="00557725">
        <w:t>For protected parties and qualifying transactions, ATF and DOJ are presently prohibited from enforcing significant portions of the NFA registration, making, and transfer framework identified in the judgment.</w:t>
      </w:r>
    </w:p>
    <w:p w14:paraId="55E430DB" w14:textId="77777777" w:rsidR="00557725" w:rsidRPr="00557725" w:rsidRDefault="00557725" w:rsidP="00557725">
      <w:r w:rsidRPr="00557725">
        <w:lastRenderedPageBreak/>
        <w:t xml:space="preserve">But the ruling is </w:t>
      </w:r>
      <w:r w:rsidRPr="00557725">
        <w:rPr>
          <w:b/>
          <w:bCs/>
        </w:rPr>
        <w:t>not a nationwide repeal of the NFA</w:t>
      </w:r>
      <w:r w:rsidRPr="00557725">
        <w:t>, and it does not automatically exempt every FFL, every gun owner, or every NFA firearm.</w:t>
      </w:r>
    </w:p>
    <w:p w14:paraId="2E3334BA" w14:textId="77777777" w:rsidR="00557725" w:rsidRPr="00557725" w:rsidRDefault="00557725" w:rsidP="00557725">
      <w:r w:rsidRPr="00557725">
        <w:t>For dealers, the operative question is no longer simply:</w:t>
      </w:r>
    </w:p>
    <w:p w14:paraId="7D7A7E03" w14:textId="77777777" w:rsidR="00557725" w:rsidRPr="00557725" w:rsidRDefault="00557725" w:rsidP="00557725">
      <w:r w:rsidRPr="00557725">
        <w:rPr>
          <w:b/>
          <w:bCs/>
        </w:rPr>
        <w:t>“Did the court strike down the registration scheme?”</w:t>
      </w:r>
    </w:p>
    <w:p w14:paraId="5F412D01" w14:textId="77777777" w:rsidR="00557725" w:rsidRPr="00557725" w:rsidRDefault="00557725" w:rsidP="00557725">
      <w:r w:rsidRPr="00557725">
        <w:t>The more important compliance question is:</w:t>
      </w:r>
    </w:p>
    <w:p w14:paraId="62685933" w14:textId="77777777" w:rsidR="00557725" w:rsidRPr="00557725" w:rsidRDefault="00557725" w:rsidP="00557725">
      <w:r w:rsidRPr="00557725">
        <w:rPr>
          <w:b/>
          <w:bCs/>
        </w:rPr>
        <w:t>“Is this dealer, this customer, and this particular transaction within the scope of the injunction?”</w:t>
      </w:r>
    </w:p>
    <w:p w14:paraId="5832F190" w14:textId="77777777" w:rsidR="00557725" w:rsidRPr="00557725" w:rsidRDefault="00557725" w:rsidP="00557725">
      <w:r w:rsidRPr="00557725">
        <w:t>Until ATF provides clearer nationwide implementation guidance, that distinction will remain one of the most important issues confronting FFLs operating in the post August 13 environment.</w:t>
      </w:r>
    </w:p>
    <w:p w14:paraId="3569FAB4" w14:textId="77777777" w:rsidR="00557725" w:rsidRPr="00557725" w:rsidRDefault="00557725" w:rsidP="00557725">
      <w:r w:rsidRPr="00557725">
        <w:pict w14:anchorId="6CC6B360">
          <v:rect id="_x0000_i1031" style="width:0;height:1.5pt" o:hralign="center" o:hrstd="t" o:hr="t" fillcolor="#a0a0a0" stroked="f"/>
        </w:pict>
      </w:r>
    </w:p>
    <w:p w14:paraId="3DC3999E" w14:textId="77777777" w:rsidR="00557725" w:rsidRPr="00557725" w:rsidRDefault="00557725" w:rsidP="00557725">
      <w:pPr>
        <w:rPr>
          <w:b/>
          <w:bCs/>
        </w:rPr>
      </w:pPr>
      <w:r w:rsidRPr="00557725">
        <w:rPr>
          <w:b/>
          <w:bCs/>
        </w:rPr>
        <w:t>PRIMARY AUTHORITIES</w:t>
      </w:r>
    </w:p>
    <w:p w14:paraId="13E90E27" w14:textId="77777777" w:rsidR="00557725" w:rsidRPr="00557725" w:rsidRDefault="00557725" w:rsidP="00557725">
      <w:r w:rsidRPr="00557725">
        <w:rPr>
          <w:i/>
          <w:iCs/>
        </w:rPr>
        <w:t>Silencer Shop Foundation v. Bureau of Alcohol, Tobacco, Firearms and Explosives</w:t>
      </w:r>
      <w:r w:rsidRPr="00557725">
        <w:t xml:space="preserve">, No. 6:25 CV 056 H, consolidated with </w:t>
      </w:r>
      <w:r w:rsidRPr="00557725">
        <w:rPr>
          <w:i/>
          <w:iCs/>
        </w:rPr>
        <w:t>Jensen v. ATF</w:t>
      </w:r>
      <w:r w:rsidRPr="00557725">
        <w:t>, No. 6:26 CV 227, Memorandum Opinion and Order, August 5, 2026.</w:t>
      </w:r>
    </w:p>
    <w:p w14:paraId="6ED0BA25" w14:textId="77777777" w:rsidR="00557725" w:rsidRPr="00557725" w:rsidRDefault="00557725" w:rsidP="00557725">
      <w:r w:rsidRPr="00557725">
        <w:t>Final Judgment, August 5, 2026.</w:t>
      </w:r>
    </w:p>
    <w:p w14:paraId="5881FE53" w14:textId="77777777" w:rsidR="00557725" w:rsidRPr="00557725" w:rsidRDefault="00557725" w:rsidP="00557725">
      <w:r w:rsidRPr="00557725">
        <w:t xml:space="preserve">August 13, 2026 correspondence from counsel for the </w:t>
      </w:r>
      <w:r w:rsidRPr="00557725">
        <w:rPr>
          <w:i/>
          <w:iCs/>
        </w:rPr>
        <w:t>Jensen</w:t>
      </w:r>
      <w:r w:rsidRPr="00557725">
        <w:t xml:space="preserve"> plaintiffs to the Department of Justice and ATF requesting implementation clarification.</w:t>
      </w:r>
    </w:p>
    <w:p w14:paraId="0E068AC0" w14:textId="77777777" w:rsidR="00557725" w:rsidRPr="00557725" w:rsidRDefault="00557725" w:rsidP="00557725">
      <w:pPr>
        <w:rPr>
          <w:b/>
          <w:bCs/>
        </w:rPr>
      </w:pPr>
      <w:r w:rsidRPr="00557725">
        <w:rPr>
          <w:b/>
          <w:bCs/>
        </w:rPr>
        <w:t>LEGAL DISCLAIMER</w:t>
      </w:r>
    </w:p>
    <w:p w14:paraId="2C059E00" w14:textId="77777777" w:rsidR="00557725" w:rsidRPr="00557725" w:rsidRDefault="00557725" w:rsidP="00557725">
      <w:r w:rsidRPr="00557725">
        <w:t xml:space="preserve">This article is provided by </w:t>
      </w:r>
      <w:proofErr w:type="spellStart"/>
      <w:r w:rsidRPr="00557725">
        <w:t>DeadEye</w:t>
      </w:r>
      <w:proofErr w:type="spellEnd"/>
      <w:r w:rsidRPr="00557725">
        <w:t xml:space="preserve"> Syndicate for general educational and informational purposes only. It is not legal advice and should not be relied upon as a substitute for advice from qualified counsel concerning a particular person, FFL, firearm, transaction, or jurisdiction. Federal and state firearms laws are subject to rapid change through legislation, regulation, agency interpretation, and litigation. FFLs and firearm owners should independently verify the current status of applicable federal, state, and local law before acting.</w:t>
      </w:r>
    </w:p>
    <w:p w14:paraId="0F9DA21B" w14:textId="77777777" w:rsidR="00C41FF1" w:rsidRDefault="00C41FF1"/>
    <w:sectPr w:rsidR="00C41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A45501"/>
    <w:multiLevelType w:val="multilevel"/>
    <w:tmpl w:val="8FFC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8412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725"/>
    <w:rsid w:val="00332655"/>
    <w:rsid w:val="0037415D"/>
    <w:rsid w:val="00551019"/>
    <w:rsid w:val="00557725"/>
    <w:rsid w:val="0066232F"/>
    <w:rsid w:val="006D0F36"/>
    <w:rsid w:val="00C41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B536"/>
  <w15:chartTrackingRefBased/>
  <w15:docId w15:val="{595E2C6F-1265-4D43-AF34-CEF7D1DC7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77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77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77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77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77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77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7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7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7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7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77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77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77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77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77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7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7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725"/>
    <w:rPr>
      <w:rFonts w:eastAsiaTheme="majorEastAsia" w:cstheme="majorBidi"/>
      <w:color w:val="272727" w:themeColor="text1" w:themeTint="D8"/>
    </w:rPr>
  </w:style>
  <w:style w:type="paragraph" w:styleId="Title">
    <w:name w:val="Title"/>
    <w:basedOn w:val="Normal"/>
    <w:next w:val="Normal"/>
    <w:link w:val="TitleChar"/>
    <w:uiPriority w:val="10"/>
    <w:qFormat/>
    <w:rsid w:val="005577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7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7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7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725"/>
    <w:pPr>
      <w:spacing w:before="160"/>
      <w:jc w:val="center"/>
    </w:pPr>
    <w:rPr>
      <w:i/>
      <w:iCs/>
      <w:color w:val="404040" w:themeColor="text1" w:themeTint="BF"/>
    </w:rPr>
  </w:style>
  <w:style w:type="character" w:customStyle="1" w:styleId="QuoteChar">
    <w:name w:val="Quote Char"/>
    <w:basedOn w:val="DefaultParagraphFont"/>
    <w:link w:val="Quote"/>
    <w:uiPriority w:val="29"/>
    <w:rsid w:val="00557725"/>
    <w:rPr>
      <w:i/>
      <w:iCs/>
      <w:color w:val="404040" w:themeColor="text1" w:themeTint="BF"/>
    </w:rPr>
  </w:style>
  <w:style w:type="paragraph" w:styleId="ListParagraph">
    <w:name w:val="List Paragraph"/>
    <w:basedOn w:val="Normal"/>
    <w:uiPriority w:val="34"/>
    <w:qFormat/>
    <w:rsid w:val="00557725"/>
    <w:pPr>
      <w:ind w:left="720"/>
      <w:contextualSpacing/>
    </w:pPr>
  </w:style>
  <w:style w:type="character" w:styleId="IntenseEmphasis">
    <w:name w:val="Intense Emphasis"/>
    <w:basedOn w:val="DefaultParagraphFont"/>
    <w:uiPriority w:val="21"/>
    <w:qFormat/>
    <w:rsid w:val="00557725"/>
    <w:rPr>
      <w:i/>
      <w:iCs/>
      <w:color w:val="2F5496" w:themeColor="accent1" w:themeShade="BF"/>
    </w:rPr>
  </w:style>
  <w:style w:type="paragraph" w:styleId="IntenseQuote">
    <w:name w:val="Intense Quote"/>
    <w:basedOn w:val="Normal"/>
    <w:next w:val="Normal"/>
    <w:link w:val="IntenseQuoteChar"/>
    <w:uiPriority w:val="30"/>
    <w:qFormat/>
    <w:rsid w:val="005577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7725"/>
    <w:rPr>
      <w:i/>
      <w:iCs/>
      <w:color w:val="2F5496" w:themeColor="accent1" w:themeShade="BF"/>
    </w:rPr>
  </w:style>
  <w:style w:type="character" w:styleId="IntenseReference">
    <w:name w:val="Intense Reference"/>
    <w:basedOn w:val="DefaultParagraphFont"/>
    <w:uiPriority w:val="32"/>
    <w:qFormat/>
    <w:rsid w:val="0055772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2776</Words>
  <Characters>15826</Characters>
  <Application>Microsoft Office Word</Application>
  <DocSecurity>0</DocSecurity>
  <Lines>131</Lines>
  <Paragraphs>37</Paragraphs>
  <ScaleCrop>false</ScaleCrop>
  <Company/>
  <LinksUpToDate>false</LinksUpToDate>
  <CharactersWithSpaces>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MacPeek</dc:creator>
  <cp:keywords/>
  <dc:description/>
  <cp:lastModifiedBy>Lee MacPeek</cp:lastModifiedBy>
  <cp:revision>1</cp:revision>
  <dcterms:created xsi:type="dcterms:W3CDTF">2026-08-21T21:03:00Z</dcterms:created>
  <dcterms:modified xsi:type="dcterms:W3CDTF">2026-08-21T21:04:00Z</dcterms:modified>
</cp:coreProperties>
</file>